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38AE0" w14:textId="77777777" w:rsidR="003C71E1" w:rsidRPr="003C71E1" w:rsidRDefault="003C71E1" w:rsidP="003C71E1">
      <w:pPr>
        <w:rPr>
          <w:rFonts w:ascii="Century Gothic" w:hAnsi="Century Gothic"/>
          <w:sz w:val="28"/>
          <w:szCs w:val="28"/>
        </w:rPr>
      </w:pPr>
      <w:r w:rsidRPr="003C71E1">
        <w:rPr>
          <w:rFonts w:ascii="Century Gothic" w:hAnsi="Century Gothic"/>
          <w:b/>
          <w:bCs/>
          <w:sz w:val="28"/>
          <w:szCs w:val="28"/>
        </w:rPr>
        <w:t>Madrid como una nueva “Zona Azul 2.0”</w:t>
      </w:r>
    </w:p>
    <w:p w14:paraId="49E3983A"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w:t>
      </w:r>
      <w:r w:rsidRPr="003C71E1">
        <w:rPr>
          <w:rFonts w:ascii="Century Gothic" w:hAnsi="Century Gothic"/>
          <w:sz w:val="28"/>
          <w:szCs w:val="28"/>
        </w:rPr>
        <w:tab/>
        <w:t>Las Zonas Azules son regiones geográficas donde la esperanza de vida es significativamente mayor y la calidad de vida en la vejez es excepcional. Estos lugares, dispersos por el mundo, comparten ciertos patrones en cuanto a estilo de vida, dieta y factores sociales que contribuyen a esta longevidad extraordinaria.</w:t>
      </w:r>
    </w:p>
    <w:p w14:paraId="3B53D5CB"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w:t>
      </w:r>
      <w:r w:rsidRPr="003C71E1">
        <w:rPr>
          <w:rFonts w:ascii="Century Gothic" w:hAnsi="Century Gothic"/>
          <w:sz w:val="28"/>
          <w:szCs w:val="28"/>
        </w:rPr>
        <w:tab/>
        <w:t>Las cinco Zonas Azules reconocidas a nivel mundial son:</w:t>
      </w:r>
    </w:p>
    <w:p w14:paraId="1A3D95BB"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1.  </w:t>
      </w:r>
      <w:r w:rsidRPr="003C71E1">
        <w:rPr>
          <w:rFonts w:ascii="Century Gothic" w:hAnsi="Century Gothic"/>
          <w:sz w:val="28"/>
          <w:szCs w:val="28"/>
        </w:rPr>
        <w:tab/>
      </w:r>
      <w:r w:rsidRPr="003C71E1">
        <w:rPr>
          <w:rFonts w:ascii="Century Gothic" w:hAnsi="Century Gothic"/>
          <w:b/>
          <w:bCs/>
          <w:sz w:val="28"/>
          <w:szCs w:val="28"/>
        </w:rPr>
        <w:t>Okinawa, Japón:</w:t>
      </w:r>
      <w:r w:rsidRPr="003C71E1">
        <w:rPr>
          <w:rFonts w:ascii="Century Gothic" w:hAnsi="Century Gothic"/>
          <w:sz w:val="28"/>
          <w:szCs w:val="28"/>
        </w:rPr>
        <w:t xml:space="preserve"> Conocida por sus centenarios y su dieta rica en vegetales, pescado azul y algas.</w:t>
      </w:r>
    </w:p>
    <w:p w14:paraId="47A5D743"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2.  </w:t>
      </w:r>
      <w:r w:rsidRPr="003C71E1">
        <w:rPr>
          <w:rFonts w:ascii="Century Gothic" w:hAnsi="Century Gothic"/>
          <w:sz w:val="28"/>
          <w:szCs w:val="28"/>
        </w:rPr>
        <w:tab/>
      </w:r>
      <w:r w:rsidRPr="003C71E1">
        <w:rPr>
          <w:rFonts w:ascii="Century Gothic" w:hAnsi="Century Gothic"/>
          <w:b/>
          <w:bCs/>
          <w:sz w:val="28"/>
          <w:szCs w:val="28"/>
        </w:rPr>
        <w:t>Cerdeña, Italia:</w:t>
      </w:r>
      <w:r w:rsidRPr="003C71E1">
        <w:rPr>
          <w:rFonts w:ascii="Century Gothic" w:hAnsi="Century Gothic"/>
          <w:sz w:val="28"/>
          <w:szCs w:val="28"/>
        </w:rPr>
        <w:t xml:space="preserve"> Famosa por su vino tinto, queso y una fuerte conexión con la familia y la comunidad.</w:t>
      </w:r>
    </w:p>
    <w:p w14:paraId="40400540"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3.  </w:t>
      </w:r>
      <w:r w:rsidRPr="003C71E1">
        <w:rPr>
          <w:rFonts w:ascii="Century Gothic" w:hAnsi="Century Gothic"/>
          <w:sz w:val="28"/>
          <w:szCs w:val="28"/>
        </w:rPr>
        <w:tab/>
      </w:r>
      <w:r w:rsidRPr="003C71E1">
        <w:rPr>
          <w:rFonts w:ascii="Century Gothic" w:hAnsi="Century Gothic"/>
          <w:b/>
          <w:bCs/>
          <w:sz w:val="28"/>
          <w:szCs w:val="28"/>
        </w:rPr>
        <w:t>Nicoya, Costa Rica:</w:t>
      </w:r>
      <w:r w:rsidRPr="003C71E1">
        <w:rPr>
          <w:rFonts w:ascii="Century Gothic" w:hAnsi="Century Gothic"/>
          <w:sz w:val="28"/>
          <w:szCs w:val="28"/>
        </w:rPr>
        <w:t xml:space="preserve"> Un lugar donde la naturaleza y el sentido de propósito son fundamentales.</w:t>
      </w:r>
    </w:p>
    <w:p w14:paraId="73162EE8"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4.  </w:t>
      </w:r>
      <w:r w:rsidRPr="003C71E1">
        <w:rPr>
          <w:rFonts w:ascii="Century Gothic" w:hAnsi="Century Gothic"/>
          <w:sz w:val="28"/>
          <w:szCs w:val="28"/>
        </w:rPr>
        <w:tab/>
      </w:r>
      <w:r w:rsidRPr="003C71E1">
        <w:rPr>
          <w:rFonts w:ascii="Century Gothic" w:hAnsi="Century Gothic"/>
          <w:b/>
          <w:bCs/>
          <w:sz w:val="28"/>
          <w:szCs w:val="28"/>
        </w:rPr>
        <w:t>Ikaria, Grecia:</w:t>
      </w:r>
      <w:r w:rsidRPr="003C71E1">
        <w:rPr>
          <w:rFonts w:ascii="Century Gothic" w:hAnsi="Century Gothic"/>
          <w:sz w:val="28"/>
          <w:szCs w:val="28"/>
        </w:rPr>
        <w:t xml:space="preserve"> Una isla griega donde la relajación, la dieta mediterránea y las relaciones sociales son pilares de la vida.</w:t>
      </w:r>
    </w:p>
    <w:p w14:paraId="35125F23"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5.  </w:t>
      </w:r>
      <w:r w:rsidRPr="003C71E1">
        <w:rPr>
          <w:rFonts w:ascii="Century Gothic" w:hAnsi="Century Gothic"/>
          <w:sz w:val="28"/>
          <w:szCs w:val="28"/>
        </w:rPr>
        <w:tab/>
      </w:r>
      <w:r w:rsidRPr="003C71E1">
        <w:rPr>
          <w:rFonts w:ascii="Century Gothic" w:hAnsi="Century Gothic"/>
          <w:b/>
          <w:bCs/>
          <w:sz w:val="28"/>
          <w:szCs w:val="28"/>
        </w:rPr>
        <w:t>Loma Linda, California:</w:t>
      </w:r>
      <w:r w:rsidRPr="003C71E1">
        <w:rPr>
          <w:rFonts w:ascii="Century Gothic" w:hAnsi="Century Gothic"/>
          <w:sz w:val="28"/>
          <w:szCs w:val="28"/>
        </w:rPr>
        <w:t xml:space="preserve"> Una comunidad de adventistas del séptimo día con una dieta vegetariana estricta y un fuerte sentido de comunidad.</w:t>
      </w:r>
    </w:p>
    <w:p w14:paraId="1CD88813"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w:t>
      </w:r>
      <w:r w:rsidRPr="003C71E1">
        <w:rPr>
          <w:rFonts w:ascii="Century Gothic" w:hAnsi="Century Gothic"/>
          <w:sz w:val="28"/>
          <w:szCs w:val="28"/>
        </w:rPr>
        <w:tab/>
        <w:t>Si bien estas cinco regiones son las más estudiadas, otras zonas del mundo podrían presentar características similares. Madrid, la capital española, destaca por varios factores que la posicionan como una potencial Zona Azul:</w:t>
      </w:r>
    </w:p>
    <w:p w14:paraId="39E909E2"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         </w:t>
      </w:r>
      <w:r w:rsidRPr="003C71E1">
        <w:rPr>
          <w:rFonts w:ascii="Century Gothic" w:hAnsi="Century Gothic"/>
          <w:b/>
          <w:bCs/>
          <w:sz w:val="28"/>
          <w:szCs w:val="28"/>
        </w:rPr>
        <w:t>Dieta Mediterránea:</w:t>
      </w:r>
      <w:r w:rsidRPr="003C71E1">
        <w:rPr>
          <w:rFonts w:ascii="Century Gothic" w:hAnsi="Century Gothic"/>
          <w:sz w:val="28"/>
          <w:szCs w:val="28"/>
        </w:rPr>
        <w:t xml:space="preserve"> La dieta madrileña, rica en frutas, verduras, aceite de oliva, pescado y legumbres, se alinea con los principios de la dieta mediterránea, asociada a una mayor esperanza de vida y una mejor salud cardiovascular.</w:t>
      </w:r>
    </w:p>
    <w:p w14:paraId="3C2CF9CB"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         </w:t>
      </w:r>
      <w:r w:rsidRPr="003C71E1">
        <w:rPr>
          <w:rFonts w:ascii="Century Gothic" w:hAnsi="Century Gothic"/>
          <w:b/>
          <w:bCs/>
          <w:sz w:val="28"/>
          <w:szCs w:val="28"/>
        </w:rPr>
        <w:t>Clima Mediterráneo:</w:t>
      </w:r>
      <w:r w:rsidRPr="003C71E1">
        <w:rPr>
          <w:rFonts w:ascii="Century Gothic" w:hAnsi="Century Gothic"/>
          <w:sz w:val="28"/>
          <w:szCs w:val="28"/>
        </w:rPr>
        <w:t xml:space="preserve"> El clima de Madrid favorece la actividad al aire libre, el disfrute de la vida y la exposición al sol, factor que influye positivamente en la producción de vitamina D y el bienestar general.</w:t>
      </w:r>
    </w:p>
    <w:p w14:paraId="2477C0A8"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lastRenderedPageBreak/>
        <w:t xml:space="preserve">·         </w:t>
      </w:r>
      <w:r w:rsidRPr="003C71E1">
        <w:rPr>
          <w:rFonts w:ascii="Century Gothic" w:hAnsi="Century Gothic"/>
          <w:b/>
          <w:bCs/>
          <w:sz w:val="28"/>
          <w:szCs w:val="28"/>
        </w:rPr>
        <w:t>Vida Social Activa:</w:t>
      </w:r>
      <w:r w:rsidRPr="003C71E1">
        <w:rPr>
          <w:rFonts w:ascii="Century Gothic" w:hAnsi="Century Gothic"/>
          <w:sz w:val="28"/>
          <w:szCs w:val="28"/>
        </w:rPr>
        <w:t xml:space="preserve"> La capital española es conocida por su vibrante vida social, con una amplia oferta cultural, deportiva y de ocio. Las relaciones sociales fuertes y el sentido de comunidad son elementos clave en las Zonas Azules.</w:t>
      </w:r>
    </w:p>
    <w:p w14:paraId="2126B3B1"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         </w:t>
      </w:r>
      <w:r w:rsidRPr="003C71E1">
        <w:rPr>
          <w:rFonts w:ascii="Century Gothic" w:hAnsi="Century Gothic"/>
          <w:b/>
          <w:bCs/>
          <w:sz w:val="28"/>
          <w:szCs w:val="28"/>
        </w:rPr>
        <w:t>Sistema Sanitario:</w:t>
      </w:r>
      <w:r w:rsidRPr="003C71E1">
        <w:rPr>
          <w:rFonts w:ascii="Century Gothic" w:hAnsi="Century Gothic"/>
          <w:sz w:val="28"/>
          <w:szCs w:val="28"/>
        </w:rPr>
        <w:t xml:space="preserve"> España cuenta con un sistema sanitario público de calidad, que garantiza el acceso a cuidados médicos a toda la población.</w:t>
      </w:r>
    </w:p>
    <w:p w14:paraId="64C84BCA"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         </w:t>
      </w:r>
      <w:r w:rsidRPr="003C71E1">
        <w:rPr>
          <w:rFonts w:ascii="Century Gothic" w:hAnsi="Century Gothic"/>
          <w:b/>
          <w:bCs/>
          <w:sz w:val="28"/>
          <w:szCs w:val="28"/>
        </w:rPr>
        <w:t>Envejecimiento Activo:</w:t>
      </w:r>
      <w:r w:rsidRPr="003C71E1">
        <w:rPr>
          <w:rFonts w:ascii="Century Gothic" w:hAnsi="Century Gothic"/>
          <w:sz w:val="28"/>
          <w:szCs w:val="28"/>
        </w:rPr>
        <w:t xml:space="preserve"> Madrid promueve activamente el envejecimiento activo a través de programas y actividades dirigidas a personas mayores, fomentando así una vida más saludable y plena.</w:t>
      </w:r>
    </w:p>
    <w:p w14:paraId="731070F3"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         </w:t>
      </w:r>
      <w:r w:rsidRPr="003C71E1">
        <w:rPr>
          <w:rFonts w:ascii="Century Gothic" w:hAnsi="Century Gothic"/>
          <w:b/>
          <w:bCs/>
          <w:sz w:val="28"/>
          <w:szCs w:val="28"/>
        </w:rPr>
        <w:t>Patrimonio Histórico y Cultural:</w:t>
      </w:r>
      <w:r w:rsidRPr="003C71E1">
        <w:rPr>
          <w:rFonts w:ascii="Century Gothic" w:hAnsi="Century Gothic"/>
          <w:sz w:val="28"/>
          <w:szCs w:val="28"/>
        </w:rPr>
        <w:t xml:space="preserve"> La rica historia y cultura de Madrid ofrecen un sentido de identidad y pertenencia que puede contribuir al bienestar emocional de sus habitantes.</w:t>
      </w:r>
    </w:p>
    <w:p w14:paraId="58CA220C"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xml:space="preserve">·         </w:t>
      </w:r>
      <w:r w:rsidRPr="003C71E1">
        <w:rPr>
          <w:rFonts w:ascii="Century Gothic" w:hAnsi="Century Gothic"/>
          <w:b/>
          <w:bCs/>
          <w:sz w:val="28"/>
          <w:szCs w:val="28"/>
        </w:rPr>
        <w:t>Espacios Verdes:</w:t>
      </w:r>
      <w:r w:rsidRPr="003C71E1">
        <w:rPr>
          <w:rFonts w:ascii="Century Gothic" w:hAnsi="Century Gothic"/>
          <w:sz w:val="28"/>
          <w:szCs w:val="28"/>
        </w:rPr>
        <w:t xml:space="preserve"> La ciudad cuenta con numerosos parques y zonas verdes que invitan a la actividad física y al contacto con la naturaleza.</w:t>
      </w:r>
    </w:p>
    <w:p w14:paraId="5D89054B"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w:t>
      </w:r>
      <w:r w:rsidRPr="003C71E1">
        <w:rPr>
          <w:rFonts w:ascii="Century Gothic" w:hAnsi="Century Gothic"/>
          <w:sz w:val="28"/>
          <w:szCs w:val="28"/>
        </w:rPr>
        <w:tab/>
        <w:t>Adicionalmente, según las cifras oficiales de Eurostat, la Comunidad de Madrid es la región con mayor expectativa de vida de toda la Unión Europa. Madrid es realmente la capital más longeva de Europa con 85,2 años en promedio, de hecho, la expectativa de vida en Madrid es mayor que en las cinco pequeñas Zonas Azules indicadas antes. Además, la Comunidad de Madrid tiene más de 7.000.000 de habitantes, no menos de 9.000 personas como la pequeña isla de Ikaria en Grecia, por ejemplo.</w:t>
      </w:r>
    </w:p>
    <w:p w14:paraId="6C9CED67"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        </w:t>
      </w:r>
      <w:r w:rsidRPr="003C71E1">
        <w:rPr>
          <w:rFonts w:ascii="Century Gothic" w:hAnsi="Century Gothic"/>
          <w:sz w:val="28"/>
          <w:szCs w:val="28"/>
        </w:rPr>
        <w:tab/>
        <w:t xml:space="preserve">Por eso sería importante reconsiderar el concepto de las pequeñas Zonas Azules e incluir a Madrid, a la cabecera como la gran Zona Azul de toda Europa: una </w:t>
      </w:r>
      <w:r w:rsidRPr="003C71E1">
        <w:rPr>
          <w:rFonts w:ascii="Century Gothic" w:hAnsi="Century Gothic"/>
          <w:b/>
          <w:bCs/>
          <w:sz w:val="28"/>
          <w:szCs w:val="28"/>
        </w:rPr>
        <w:t>Zona Azul 2.0</w:t>
      </w:r>
      <w:r w:rsidRPr="003C71E1">
        <w:rPr>
          <w:rFonts w:ascii="Century Gothic" w:hAnsi="Century Gothic"/>
          <w:sz w:val="28"/>
          <w:szCs w:val="28"/>
        </w:rPr>
        <w:t>.</w:t>
      </w:r>
    </w:p>
    <w:p w14:paraId="5B4C7C7B"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José Luis Cordeiro, PhD (</w:t>
      </w:r>
      <w:hyperlink r:id="rId4" w:history="1">
        <w:r w:rsidRPr="003C71E1">
          <w:rPr>
            <w:rStyle w:val="Hyperlink"/>
            <w:rFonts w:ascii="Century Gothic" w:hAnsi="Century Gothic"/>
            <w:sz w:val="28"/>
            <w:szCs w:val="28"/>
          </w:rPr>
          <w:t>https://thedeathofdeath.org/</w:t>
        </w:r>
      </w:hyperlink>
      <w:r w:rsidRPr="003C71E1">
        <w:rPr>
          <w:rFonts w:ascii="Century Gothic" w:hAnsi="Century Gothic"/>
          <w:sz w:val="28"/>
          <w:szCs w:val="28"/>
        </w:rPr>
        <w:t>)</w:t>
      </w:r>
    </w:p>
    <w:p w14:paraId="20506276"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Director, International Longevity Alliance (</w:t>
      </w:r>
      <w:hyperlink r:id="rId5" w:history="1">
        <w:r w:rsidRPr="003C71E1">
          <w:rPr>
            <w:rStyle w:val="Hyperlink"/>
            <w:rFonts w:ascii="Century Gothic" w:hAnsi="Century Gothic"/>
            <w:sz w:val="28"/>
            <w:szCs w:val="28"/>
          </w:rPr>
          <w:t>www.LongevityAlliance.org</w:t>
        </w:r>
      </w:hyperlink>
      <w:r w:rsidRPr="003C71E1">
        <w:rPr>
          <w:rFonts w:ascii="Century Gothic" w:hAnsi="Century Gothic"/>
          <w:sz w:val="28"/>
          <w:szCs w:val="28"/>
        </w:rPr>
        <w:t>)</w:t>
      </w:r>
    </w:p>
    <w:p w14:paraId="46DE124C" w14:textId="77777777" w:rsidR="003C71E1" w:rsidRPr="003C71E1" w:rsidRDefault="003C71E1" w:rsidP="003C71E1">
      <w:pPr>
        <w:rPr>
          <w:rFonts w:ascii="Century Gothic" w:hAnsi="Century Gothic"/>
          <w:sz w:val="28"/>
          <w:szCs w:val="28"/>
        </w:rPr>
      </w:pPr>
      <w:r w:rsidRPr="003C71E1">
        <w:rPr>
          <w:rFonts w:ascii="Century Gothic" w:hAnsi="Century Gothic"/>
          <w:sz w:val="28"/>
          <w:szCs w:val="28"/>
        </w:rPr>
        <w:t>Fundador, International Longevity Summit (</w:t>
      </w:r>
      <w:hyperlink r:id="rId6" w:history="1">
        <w:r w:rsidRPr="003C71E1">
          <w:rPr>
            <w:rStyle w:val="Hyperlink"/>
            <w:rFonts w:ascii="Century Gothic" w:hAnsi="Century Gothic"/>
            <w:sz w:val="28"/>
            <w:szCs w:val="28"/>
          </w:rPr>
          <w:t>www.TransVisionMadrid.com</w:t>
        </w:r>
      </w:hyperlink>
      <w:r w:rsidRPr="003C71E1">
        <w:rPr>
          <w:rFonts w:ascii="Century Gothic" w:hAnsi="Century Gothic"/>
          <w:sz w:val="28"/>
          <w:szCs w:val="28"/>
        </w:rPr>
        <w:t>)</w:t>
      </w:r>
    </w:p>
    <w:p w14:paraId="5D31B05C" w14:textId="77777777" w:rsidR="003C71E1" w:rsidRPr="003C71E1" w:rsidRDefault="003C71E1">
      <w:pPr>
        <w:rPr>
          <w:rFonts w:ascii="Century Gothic" w:hAnsi="Century Gothic"/>
          <w:sz w:val="28"/>
          <w:szCs w:val="28"/>
        </w:rPr>
      </w:pPr>
    </w:p>
    <w:sectPr w:rsidR="003C71E1" w:rsidRPr="003C7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E1"/>
    <w:rsid w:val="003C71E1"/>
    <w:rsid w:val="00F32910"/>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09E9F170"/>
  <w15:chartTrackingRefBased/>
  <w15:docId w15:val="{BEC7992E-9DA7-A24B-8EB7-85C807AD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7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1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1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1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1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1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1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1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1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1E1"/>
    <w:rPr>
      <w:rFonts w:eastAsiaTheme="majorEastAsia" w:cstheme="majorBidi"/>
      <w:color w:val="272727" w:themeColor="text1" w:themeTint="D8"/>
    </w:rPr>
  </w:style>
  <w:style w:type="paragraph" w:styleId="Title">
    <w:name w:val="Title"/>
    <w:basedOn w:val="Normal"/>
    <w:next w:val="Normal"/>
    <w:link w:val="TitleChar"/>
    <w:uiPriority w:val="10"/>
    <w:qFormat/>
    <w:rsid w:val="003C7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1E1"/>
    <w:pPr>
      <w:spacing w:before="160"/>
      <w:jc w:val="center"/>
    </w:pPr>
    <w:rPr>
      <w:i/>
      <w:iCs/>
      <w:color w:val="404040" w:themeColor="text1" w:themeTint="BF"/>
    </w:rPr>
  </w:style>
  <w:style w:type="character" w:customStyle="1" w:styleId="QuoteChar">
    <w:name w:val="Quote Char"/>
    <w:basedOn w:val="DefaultParagraphFont"/>
    <w:link w:val="Quote"/>
    <w:uiPriority w:val="29"/>
    <w:rsid w:val="003C71E1"/>
    <w:rPr>
      <w:i/>
      <w:iCs/>
      <w:color w:val="404040" w:themeColor="text1" w:themeTint="BF"/>
    </w:rPr>
  </w:style>
  <w:style w:type="paragraph" w:styleId="ListParagraph">
    <w:name w:val="List Paragraph"/>
    <w:basedOn w:val="Normal"/>
    <w:uiPriority w:val="34"/>
    <w:qFormat/>
    <w:rsid w:val="003C71E1"/>
    <w:pPr>
      <w:ind w:left="720"/>
      <w:contextualSpacing/>
    </w:pPr>
  </w:style>
  <w:style w:type="character" w:styleId="IntenseEmphasis">
    <w:name w:val="Intense Emphasis"/>
    <w:basedOn w:val="DefaultParagraphFont"/>
    <w:uiPriority w:val="21"/>
    <w:qFormat/>
    <w:rsid w:val="003C71E1"/>
    <w:rPr>
      <w:i/>
      <w:iCs/>
      <w:color w:val="0F4761" w:themeColor="accent1" w:themeShade="BF"/>
    </w:rPr>
  </w:style>
  <w:style w:type="paragraph" w:styleId="IntenseQuote">
    <w:name w:val="Intense Quote"/>
    <w:basedOn w:val="Normal"/>
    <w:next w:val="Normal"/>
    <w:link w:val="IntenseQuoteChar"/>
    <w:uiPriority w:val="30"/>
    <w:qFormat/>
    <w:rsid w:val="003C7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1E1"/>
    <w:rPr>
      <w:i/>
      <w:iCs/>
      <w:color w:val="0F4761" w:themeColor="accent1" w:themeShade="BF"/>
    </w:rPr>
  </w:style>
  <w:style w:type="character" w:styleId="IntenseReference">
    <w:name w:val="Intense Reference"/>
    <w:basedOn w:val="DefaultParagraphFont"/>
    <w:uiPriority w:val="32"/>
    <w:qFormat/>
    <w:rsid w:val="003C71E1"/>
    <w:rPr>
      <w:b/>
      <w:bCs/>
      <w:smallCaps/>
      <w:color w:val="0F4761" w:themeColor="accent1" w:themeShade="BF"/>
      <w:spacing w:val="5"/>
    </w:rPr>
  </w:style>
  <w:style w:type="character" w:styleId="Hyperlink">
    <w:name w:val="Hyperlink"/>
    <w:basedOn w:val="DefaultParagraphFont"/>
    <w:uiPriority w:val="99"/>
    <w:unhideWhenUsed/>
    <w:rsid w:val="003C71E1"/>
    <w:rPr>
      <w:color w:val="467886" w:themeColor="hyperlink"/>
      <w:u w:val="single"/>
    </w:rPr>
  </w:style>
  <w:style w:type="character" w:styleId="UnresolvedMention">
    <w:name w:val="Unresolved Mention"/>
    <w:basedOn w:val="DefaultParagraphFont"/>
    <w:uiPriority w:val="99"/>
    <w:semiHidden/>
    <w:unhideWhenUsed/>
    <w:rsid w:val="003C7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5372692">
      <w:bodyDiv w:val="1"/>
      <w:marLeft w:val="0"/>
      <w:marRight w:val="0"/>
      <w:marTop w:val="0"/>
      <w:marBottom w:val="0"/>
      <w:divBdr>
        <w:top w:val="none" w:sz="0" w:space="0" w:color="auto"/>
        <w:left w:val="none" w:sz="0" w:space="0" w:color="auto"/>
        <w:bottom w:val="none" w:sz="0" w:space="0" w:color="auto"/>
        <w:right w:val="none" w:sz="0" w:space="0" w:color="auto"/>
      </w:divBdr>
    </w:div>
    <w:div w:id="159524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ransvisionmadrid.com/" TargetMode="External"/><Relationship Id="rId5" Type="http://schemas.openxmlformats.org/officeDocument/2006/relationships/hyperlink" Target="http://www.longevityalliance.org/" TargetMode="External"/><Relationship Id="rId4" Type="http://schemas.openxmlformats.org/officeDocument/2006/relationships/hyperlink" Target="https://thedeathofdea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544</Words>
  <Characters>3106</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1</cp:revision>
  <dcterms:created xsi:type="dcterms:W3CDTF">2025-09-09T07:36:00Z</dcterms:created>
  <dcterms:modified xsi:type="dcterms:W3CDTF">2025-09-09T07:37:00Z</dcterms:modified>
</cp:coreProperties>
</file>