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00" w:type="dxa"/>
        <w:jc w:val="center"/>
        <w:tblCellMar>
          <w:left w:w="0" w:type="dxa"/>
          <w:right w:w="0" w:type="dxa"/>
        </w:tblCellMar>
        <w:tblLook w:val="04A0" w:firstRow="1" w:lastRow="0" w:firstColumn="1" w:lastColumn="0" w:noHBand="0" w:noVBand="1"/>
      </w:tblPr>
      <w:tblGrid>
        <w:gridCol w:w="9000"/>
      </w:tblGrid>
      <w:tr w:rsidR="008F1B35" w:rsidRPr="008F1B35" w14:paraId="03D4FC06" w14:textId="77777777" w:rsidTr="008F1B35">
        <w:trPr>
          <w:jc w:val="center"/>
        </w:trPr>
        <w:tc>
          <w:tcPr>
            <w:tcW w:w="0" w:type="auto"/>
            <w:tcMar>
              <w:top w:w="0" w:type="dxa"/>
              <w:left w:w="360" w:type="dxa"/>
              <w:bottom w:w="0" w:type="dxa"/>
              <w:right w:w="360" w:type="dxa"/>
            </w:tcMar>
            <w:hideMark/>
          </w:tcPr>
          <w:tbl>
            <w:tblPr>
              <w:tblW w:w="5000" w:type="pct"/>
              <w:tblCellMar>
                <w:left w:w="0" w:type="dxa"/>
                <w:right w:w="0" w:type="dxa"/>
              </w:tblCellMar>
              <w:tblLook w:val="04A0" w:firstRow="1" w:lastRow="0" w:firstColumn="1" w:lastColumn="0" w:noHBand="0" w:noVBand="1"/>
            </w:tblPr>
            <w:tblGrid>
              <w:gridCol w:w="8280"/>
            </w:tblGrid>
            <w:tr w:rsidR="008F1B35" w:rsidRPr="008F1B35" w14:paraId="25259069" w14:textId="77777777">
              <w:tc>
                <w:tcPr>
                  <w:tcW w:w="0" w:type="auto"/>
                  <w:vAlign w:val="center"/>
                  <w:hideMark/>
                </w:tcPr>
                <w:p w14:paraId="2048D524" w14:textId="77777777" w:rsidR="008F1B35" w:rsidRPr="008F1B35" w:rsidRDefault="008F1B35" w:rsidP="008F1B35">
                  <w:pPr>
                    <w:rPr>
                      <w:rFonts w:ascii="Century Gothic" w:hAnsi="Century Gothic"/>
                      <w:b/>
                      <w:bCs/>
                    </w:rPr>
                  </w:pPr>
                  <w:hyperlink r:id="rId5" w:tgtFrame="_blank" w:history="1">
                    <w:r w:rsidRPr="008F1B35">
                      <w:rPr>
                        <w:rStyle w:val="Hyperlink"/>
                        <w:rFonts w:ascii="Century Gothic" w:hAnsi="Century Gothic"/>
                        <w:b/>
                        <w:bCs/>
                        <w:i/>
                        <w:iCs/>
                      </w:rPr>
                      <w:t>¿Por qué debería invertir en una estrategia digital de relaciones con inversores?</w:t>
                    </w:r>
                  </w:hyperlink>
                </w:p>
              </w:tc>
            </w:tr>
          </w:tbl>
          <w:p w14:paraId="2D21C6D1" w14:textId="77777777" w:rsidR="008F1B35" w:rsidRPr="008F1B35" w:rsidRDefault="008F1B35" w:rsidP="008F1B35">
            <w:pPr>
              <w:rPr>
                <w:rFonts w:ascii="Century Gothic" w:hAnsi="Century Gothic"/>
              </w:rPr>
            </w:pPr>
          </w:p>
        </w:tc>
      </w:tr>
    </w:tbl>
    <w:p w14:paraId="1CD51938" w14:textId="77777777" w:rsidR="008F1B35" w:rsidRPr="008F1B35" w:rsidRDefault="008F1B35" w:rsidP="008F1B35">
      <w:pPr>
        <w:rPr>
          <w:rFonts w:ascii="Century Gothic" w:hAnsi="Century Gothic"/>
          <w:vanish/>
        </w:rPr>
      </w:pPr>
    </w:p>
    <w:tbl>
      <w:tblPr>
        <w:tblW w:w="9000" w:type="dxa"/>
        <w:jc w:val="center"/>
        <w:tblCellMar>
          <w:left w:w="0" w:type="dxa"/>
          <w:right w:w="0" w:type="dxa"/>
        </w:tblCellMar>
        <w:tblLook w:val="04A0" w:firstRow="1" w:lastRow="0" w:firstColumn="1" w:lastColumn="0" w:noHBand="0" w:noVBand="1"/>
      </w:tblPr>
      <w:tblGrid>
        <w:gridCol w:w="9000"/>
      </w:tblGrid>
      <w:tr w:rsidR="008F1B35" w:rsidRPr="008F1B35" w14:paraId="6932FD99" w14:textId="77777777" w:rsidTr="008F1B35">
        <w:trPr>
          <w:jc w:val="center"/>
        </w:trPr>
        <w:tc>
          <w:tcPr>
            <w:tcW w:w="0" w:type="auto"/>
            <w:tcMar>
              <w:top w:w="0" w:type="dxa"/>
              <w:left w:w="360" w:type="dxa"/>
              <w:bottom w:w="0" w:type="dxa"/>
              <w:right w:w="360" w:type="dxa"/>
            </w:tcMar>
            <w:hideMark/>
          </w:tcPr>
          <w:tbl>
            <w:tblPr>
              <w:tblW w:w="5000" w:type="pct"/>
              <w:tblCellMar>
                <w:left w:w="0" w:type="dxa"/>
                <w:right w:w="0" w:type="dxa"/>
              </w:tblCellMar>
              <w:tblLook w:val="04A0" w:firstRow="1" w:lastRow="0" w:firstColumn="1" w:lastColumn="0" w:noHBand="0" w:noVBand="1"/>
            </w:tblPr>
            <w:tblGrid>
              <w:gridCol w:w="8280"/>
            </w:tblGrid>
            <w:tr w:rsidR="008F1B35" w:rsidRPr="008F1B35" w14:paraId="34AB7BEE" w14:textId="77777777">
              <w:tc>
                <w:tcPr>
                  <w:tcW w:w="0" w:type="auto"/>
                  <w:vAlign w:val="center"/>
                  <w:hideMark/>
                </w:tcPr>
                <w:p w14:paraId="3635452C" w14:textId="77777777" w:rsidR="008F1B35" w:rsidRPr="008F1B35" w:rsidRDefault="008F1B35" w:rsidP="008F1B35">
                  <w:pPr>
                    <w:divId w:val="1084961454"/>
                    <w:rPr>
                      <w:rFonts w:ascii="Century Gothic" w:hAnsi="Century Gothic"/>
                      <w:b/>
                      <w:bCs/>
                    </w:rPr>
                  </w:pPr>
                  <w:r w:rsidRPr="008F1B35">
                    <w:rPr>
                      <w:rFonts w:ascii="Century Gothic" w:hAnsi="Century Gothic"/>
                      <w:b/>
                      <w:bCs/>
                    </w:rPr>
                    <w:t>Las estrategias digitales de relaciones con inversores (IR) están transformando el futuro de esta área. Aquí explicamos cómo y el papel crucial que desempeña Presspage en esta revolución.</w:t>
                  </w:r>
                </w:p>
              </w:tc>
            </w:tr>
          </w:tbl>
          <w:p w14:paraId="31BE3639" w14:textId="77777777" w:rsidR="008F1B35" w:rsidRPr="008F1B35" w:rsidRDefault="008F1B35" w:rsidP="008F1B35">
            <w:pPr>
              <w:rPr>
                <w:rFonts w:ascii="Century Gothic" w:hAnsi="Century Gothic"/>
              </w:rPr>
            </w:pPr>
          </w:p>
        </w:tc>
      </w:tr>
    </w:tbl>
    <w:p w14:paraId="6437CF11" w14:textId="77777777" w:rsidR="008F1B35" w:rsidRPr="008F1B35" w:rsidRDefault="008F1B35" w:rsidP="008F1B35">
      <w:pPr>
        <w:rPr>
          <w:rFonts w:ascii="Century Gothic" w:hAnsi="Century Gothic"/>
          <w:vanish/>
        </w:rPr>
      </w:pPr>
    </w:p>
    <w:tbl>
      <w:tblPr>
        <w:tblW w:w="9000" w:type="dxa"/>
        <w:jc w:val="center"/>
        <w:tblCellMar>
          <w:left w:w="0" w:type="dxa"/>
          <w:right w:w="0" w:type="dxa"/>
        </w:tblCellMar>
        <w:tblLook w:val="04A0" w:firstRow="1" w:lastRow="0" w:firstColumn="1" w:lastColumn="0" w:noHBand="0" w:noVBand="1"/>
      </w:tblPr>
      <w:tblGrid>
        <w:gridCol w:w="9000"/>
      </w:tblGrid>
      <w:tr w:rsidR="008F1B35" w:rsidRPr="008F1B35" w14:paraId="2EF0A0E0" w14:textId="77777777" w:rsidTr="008F1B35">
        <w:trPr>
          <w:jc w:val="center"/>
        </w:trPr>
        <w:tc>
          <w:tcPr>
            <w:tcW w:w="0" w:type="auto"/>
            <w:tcMar>
              <w:top w:w="0" w:type="dxa"/>
              <w:left w:w="360" w:type="dxa"/>
              <w:bottom w:w="0" w:type="dxa"/>
              <w:right w:w="360" w:type="dxa"/>
            </w:tcMar>
            <w:hideMark/>
          </w:tcPr>
          <w:tbl>
            <w:tblPr>
              <w:tblW w:w="5000" w:type="pct"/>
              <w:tblCellMar>
                <w:left w:w="0" w:type="dxa"/>
                <w:right w:w="0" w:type="dxa"/>
              </w:tblCellMar>
              <w:tblLook w:val="04A0" w:firstRow="1" w:lastRow="0" w:firstColumn="1" w:lastColumn="0" w:noHBand="0" w:noVBand="1"/>
            </w:tblPr>
            <w:tblGrid>
              <w:gridCol w:w="8280"/>
            </w:tblGrid>
            <w:tr w:rsidR="008F1B35" w:rsidRPr="008F1B35" w14:paraId="4599084E" w14:textId="77777777">
              <w:tc>
                <w:tcPr>
                  <w:tcW w:w="0" w:type="auto"/>
                  <w:vAlign w:val="center"/>
                  <w:hideMark/>
                </w:tcPr>
                <w:p w14:paraId="4C0F9C03" w14:textId="77777777" w:rsidR="008F1B35" w:rsidRPr="008F1B35" w:rsidRDefault="008F1B35" w:rsidP="008F1B35">
                  <w:pPr>
                    <w:rPr>
                      <w:rFonts w:ascii="Century Gothic" w:hAnsi="Century Gothic"/>
                    </w:rPr>
                  </w:pPr>
                  <w:r w:rsidRPr="008F1B35">
                    <w:rPr>
                      <w:rFonts w:ascii="Century Gothic" w:hAnsi="Century Gothic"/>
                    </w:rPr>
                    <w:t>Los mercados de capital han cambiado, haciendo la industria más compleja y ágil. Las empresas buscan tecnologías innovadoras para mejorar sus relaciones con inversores. Aquí explicamos cómo y el papel crucial que desempeña </w:t>
                  </w:r>
                  <w:hyperlink r:id="rId6" w:tgtFrame="_blank" w:history="1">
                    <w:r w:rsidRPr="008F1B35">
                      <w:rPr>
                        <w:rStyle w:val="Hyperlink"/>
                        <w:rFonts w:ascii="Century Gothic" w:hAnsi="Century Gothic"/>
                      </w:rPr>
                      <w:t>Presspage</w:t>
                    </w:r>
                  </w:hyperlink>
                  <w:r w:rsidRPr="008F1B35">
                    <w:rPr>
                      <w:rFonts w:ascii="Century Gothic" w:hAnsi="Century Gothic"/>
                    </w:rPr>
                    <w:t> en esta revolución. Presspage ofrece soluciones #CommTech para comunicaciones financieras y de medios. </w:t>
                  </w:r>
                  <w:hyperlink r:id="rId7" w:tgtFrame="_blank" w:history="1">
                    <w:r w:rsidRPr="008F1B35">
                      <w:rPr>
                        <w:rStyle w:val="Hyperlink"/>
                        <w:rFonts w:ascii="Century Gothic" w:hAnsi="Century Gothic"/>
                      </w:rPr>
                      <w:t>Relaciones públicas</w:t>
                    </w:r>
                  </w:hyperlink>
                  <w:r w:rsidRPr="008F1B35">
                    <w:rPr>
                      <w:rFonts w:ascii="Century Gothic" w:hAnsi="Century Gothic"/>
                    </w:rPr>
                    <w:t> para la publicación y distribución de relaciones con inversores, simplificadas.</w:t>
                  </w:r>
                </w:p>
                <w:p w14:paraId="0DE0FAF5" w14:textId="77777777" w:rsidR="008F1B35" w:rsidRPr="008F1B35" w:rsidRDefault="008F1B35" w:rsidP="008F1B35">
                  <w:pPr>
                    <w:rPr>
                      <w:rFonts w:ascii="Century Gothic" w:hAnsi="Century Gothic"/>
                    </w:rPr>
                  </w:pPr>
                  <w:r w:rsidRPr="008F1B35">
                    <w:rPr>
                      <w:rFonts w:ascii="Century Gothic" w:hAnsi="Century Gothic"/>
                    </w:rPr>
                    <w:t> </w:t>
                  </w:r>
                </w:p>
                <w:p w14:paraId="0B0830A5" w14:textId="77777777" w:rsidR="008F1B35" w:rsidRPr="008F1B35" w:rsidRDefault="008F1B35" w:rsidP="008F1B35">
                  <w:pPr>
                    <w:rPr>
                      <w:rFonts w:ascii="Century Gothic" w:hAnsi="Century Gothic"/>
                    </w:rPr>
                  </w:pPr>
                  <w:r w:rsidRPr="008F1B35">
                    <w:rPr>
                      <w:rFonts w:ascii="Century Gothic" w:hAnsi="Century Gothic"/>
                      <w:b/>
                      <w:bCs/>
                    </w:rPr>
                    <w:t>Cambios en el mercado y la tecnología</w:t>
                  </w:r>
                </w:p>
                <w:p w14:paraId="10DE01F8" w14:textId="265EAE63" w:rsidR="008F1B35" w:rsidRPr="008F1B35" w:rsidRDefault="008F1B35" w:rsidP="008F1B35">
                  <w:pPr>
                    <w:rPr>
                      <w:rFonts w:ascii="Century Gothic" w:hAnsi="Century Gothic"/>
                    </w:rPr>
                  </w:pPr>
                  <w:r w:rsidRPr="008F1B35">
                    <w:rPr>
                      <w:rFonts w:ascii="Century Gothic" w:hAnsi="Century Gothic"/>
                    </w:rPr>
                    <w:t> Hemos observado un cambio significativo en los mercados de capital, lo que ha alterado el ámbito de las relaciones con inversores. La industria es ahora más compleja pero también más ágil que antes. Las empresas, en su búsqueda por optimizar sus cadenas de valor y reducir costos, están adoptando tecnologías innovadoras para redefinir cómo se relacionan con sus inversores.</w:t>
                  </w:r>
                </w:p>
                <w:p w14:paraId="2FFE3FD1" w14:textId="77777777" w:rsidR="008F1B35" w:rsidRPr="008F1B35" w:rsidRDefault="008F1B35" w:rsidP="008F1B35">
                  <w:pPr>
                    <w:rPr>
                      <w:rFonts w:ascii="Century Gothic" w:hAnsi="Century Gothic"/>
                    </w:rPr>
                  </w:pPr>
                  <w:r w:rsidRPr="008F1B35">
                    <w:rPr>
                      <w:rFonts w:ascii="Century Gothic" w:hAnsi="Century Gothic"/>
                    </w:rPr>
                    <w:t>En este informe de </w:t>
                  </w:r>
                  <w:hyperlink r:id="rId8" w:tgtFrame="_blank" w:history="1">
                    <w:r w:rsidRPr="008F1B35">
                      <w:rPr>
                        <w:rStyle w:val="Hyperlink"/>
                        <w:rFonts w:ascii="Century Gothic" w:hAnsi="Century Gothic"/>
                      </w:rPr>
                      <w:t>Gartner</w:t>
                    </w:r>
                  </w:hyperlink>
                  <w:r w:rsidRPr="008F1B35">
                    <w:rPr>
                      <w:rFonts w:ascii="Century Gothic" w:hAnsi="Century Gothic"/>
                    </w:rPr>
                    <w:t> define las relaciones con inversores como una "responsabilidad estratégica mediante la cual las organizaciones gestionan las comunicaciones entre su liderazgo ejecutivo y la comunidad financiera". Esto implica proporcionar a los inversores una visión clara y precisa de los asuntos corporativos, facilitando decisiones de inversión informadas. Sin embargo, enfrentas el desafío de destacar en un entorno mediático saturado donde inversores y periodistas están constantemente bombardeados con información.</w:t>
                  </w:r>
                </w:p>
                <w:p w14:paraId="47E2FBA8" w14:textId="77777777" w:rsidR="008F1B35" w:rsidRPr="008F1B35" w:rsidRDefault="008F1B35" w:rsidP="008F1B35">
                  <w:pPr>
                    <w:rPr>
                      <w:rFonts w:ascii="Century Gothic" w:hAnsi="Century Gothic"/>
                    </w:rPr>
                  </w:pPr>
                  <w:r w:rsidRPr="008F1B35">
                    <w:rPr>
                      <w:rFonts w:ascii="Century Gothic" w:hAnsi="Century Gothic"/>
                    </w:rPr>
                    <w:t> </w:t>
                  </w:r>
                </w:p>
                <w:p w14:paraId="69DD47DA" w14:textId="77777777" w:rsidR="008F1B35" w:rsidRPr="008F1B35" w:rsidRDefault="008F1B35" w:rsidP="008F1B35">
                  <w:pPr>
                    <w:rPr>
                      <w:rFonts w:ascii="Century Gothic" w:hAnsi="Century Gothic"/>
                    </w:rPr>
                  </w:pPr>
                  <w:r w:rsidRPr="008F1B35">
                    <w:rPr>
                      <w:rFonts w:ascii="Century Gothic" w:hAnsi="Century Gothic"/>
                      <w:b/>
                      <w:bCs/>
                    </w:rPr>
                    <w:t>Desglosando el rol de las relaciones con inversores</w:t>
                  </w:r>
                </w:p>
                <w:p w14:paraId="33ADC1B9" w14:textId="417C3398" w:rsidR="008F1B35" w:rsidRPr="008F1B35" w:rsidRDefault="008F1B35" w:rsidP="008F1B35">
                  <w:pPr>
                    <w:rPr>
                      <w:rFonts w:ascii="Century Gothic" w:hAnsi="Century Gothic"/>
                    </w:rPr>
                  </w:pPr>
                  <w:r w:rsidRPr="008F1B35">
                    <w:rPr>
                      <w:rFonts w:ascii="Century Gothic" w:hAnsi="Century Gothic"/>
                    </w:rPr>
                    <w:t> Para que tu mensaje sea efectivo, no basta con tener una buena historia; es crucial cómo la cuentas y el tipo de relación que mantienes con tu audiencia. Tradicionalmente, las relaciones con inversores se han relacionado superficialmente con marketing, comunicaciones y estrategia corporativa, pero según </w:t>
                  </w:r>
                  <w:hyperlink r:id="rId9" w:tgtFrame="_blank" w:history="1">
                    <w:r w:rsidRPr="008F1B35">
                      <w:rPr>
                        <w:rStyle w:val="Hyperlink"/>
                        <w:rFonts w:ascii="Century Gothic" w:hAnsi="Century Gothic"/>
                      </w:rPr>
                      <w:t xml:space="preserve">Bain and </w:t>
                    </w:r>
                    <w:r w:rsidRPr="008F1B35">
                      <w:rPr>
                        <w:rStyle w:val="Hyperlink"/>
                        <w:rFonts w:ascii="Century Gothic" w:hAnsi="Century Gothic"/>
                      </w:rPr>
                      <w:lastRenderedPageBreak/>
                      <w:t>Company,</w:t>
                    </w:r>
                  </w:hyperlink>
                  <w:r w:rsidRPr="008F1B35">
                    <w:rPr>
                      <w:rFonts w:ascii="Century Gothic" w:hAnsi="Century Gothic"/>
                    </w:rPr>
                    <w:t> el 90% de las organizaciones no integran estas relaciones en su estrategia empresarial general.</w:t>
                  </w:r>
                </w:p>
                <w:p w14:paraId="2BEDB19F" w14:textId="77777777" w:rsidR="008F1B35" w:rsidRPr="008F1B35" w:rsidRDefault="008F1B35" w:rsidP="008F1B35">
                  <w:pPr>
                    <w:rPr>
                      <w:rFonts w:ascii="Century Gothic" w:hAnsi="Century Gothic"/>
                    </w:rPr>
                  </w:pPr>
                  <w:r w:rsidRPr="008F1B35">
                    <w:rPr>
                      <w:rFonts w:ascii="Century Gothic" w:hAnsi="Century Gothic"/>
                    </w:rPr>
                    <w:t> </w:t>
                  </w:r>
                </w:p>
                <w:p w14:paraId="58C3EB50" w14:textId="77777777" w:rsidR="008F1B35" w:rsidRPr="008F1B35" w:rsidRDefault="008F1B35" w:rsidP="008F1B35">
                  <w:pPr>
                    <w:rPr>
                      <w:rFonts w:ascii="Century Gothic" w:hAnsi="Century Gothic"/>
                    </w:rPr>
                  </w:pPr>
                  <w:r w:rsidRPr="008F1B35">
                    <w:rPr>
                      <w:rFonts w:ascii="Century Gothic" w:hAnsi="Century Gothic"/>
                      <w:b/>
                      <w:bCs/>
                    </w:rPr>
                    <w:t>La industria de IR y la tecnología</w:t>
                  </w:r>
                </w:p>
                <w:p w14:paraId="51E78751" w14:textId="1CF1416E" w:rsidR="008F1B35" w:rsidRDefault="008F1B35" w:rsidP="008F1B35">
                  <w:pPr>
                    <w:rPr>
                      <w:rFonts w:ascii="Century Gothic" w:hAnsi="Century Gothic"/>
                    </w:rPr>
                  </w:pPr>
                  <w:r w:rsidRPr="008F1B35">
                    <w:rPr>
                      <w:rFonts w:ascii="Century Gothic" w:hAnsi="Century Gothic"/>
                    </w:rPr>
                    <w:t> La industria de las relaciones con inversores ha visto un giro hacia la tecnología, buscando formas más personalizadas y eficientes de comunicación global. Las interacciones ya no se limitan a reuniones informales; se requiere una presencia constante y efectiva. Las buenas relaciones, tanto personales como empresariales, se basan en autenticidad, transparencia, receptividad y confianza, valores que se pueden potenciar con herramientas digitales y de automatización.</w:t>
                  </w:r>
                </w:p>
                <w:p w14:paraId="23A4021D" w14:textId="77777777" w:rsidR="008F1B35" w:rsidRPr="008F1B35" w:rsidRDefault="008F1B35" w:rsidP="008F1B35">
                  <w:pPr>
                    <w:rPr>
                      <w:rFonts w:ascii="Century Gothic" w:hAnsi="Century Gothic"/>
                    </w:rPr>
                  </w:pPr>
                </w:p>
                <w:p w14:paraId="2249268E" w14:textId="38AFA081" w:rsidR="008F1B35" w:rsidRPr="008F1B35" w:rsidRDefault="008F1B35" w:rsidP="008F1B35">
                  <w:pPr>
                    <w:rPr>
                      <w:rFonts w:ascii="Century Gothic" w:hAnsi="Century Gothic"/>
                    </w:rPr>
                  </w:pPr>
                  <w:r w:rsidRPr="008F1B35">
                    <w:rPr>
                      <w:rFonts w:ascii="Century Gothic" w:hAnsi="Century Gothic"/>
                    </w:rPr>
                    <w:t>Desafíos en el mundo digital de las relaciones con inversores</w:t>
                  </w:r>
                </w:p>
                <w:p w14:paraId="497C4D18" w14:textId="2630B9BC" w:rsidR="008F1B35" w:rsidRPr="008F1B35" w:rsidRDefault="008F1B35" w:rsidP="008F1B35">
                  <w:pPr>
                    <w:rPr>
                      <w:rFonts w:ascii="Century Gothic" w:hAnsi="Century Gothic"/>
                    </w:rPr>
                  </w:pPr>
                  <w:hyperlink r:id="rId10" w:tgtFrame="_blank" w:history="1">
                    <w:r w:rsidRPr="008F1B35">
                      <w:rPr>
                        <w:rStyle w:val="Hyperlink"/>
                        <w:rFonts w:ascii="Century Gothic" w:hAnsi="Century Gothic"/>
                      </w:rPr>
                      <w:t>KPMG</w:t>
                    </w:r>
                  </w:hyperlink>
                  <w:r w:rsidRPr="008F1B35">
                    <w:rPr>
                      <w:rFonts w:ascii="Century Gothic" w:hAnsi="Century Gothic"/>
                    </w:rPr>
                    <w:t> señala entre los principales desafíos:</w:t>
                  </w:r>
                </w:p>
                <w:p w14:paraId="40A67380" w14:textId="77777777" w:rsidR="008F1B35" w:rsidRPr="008F1B35" w:rsidRDefault="008F1B35" w:rsidP="008F1B35">
                  <w:pPr>
                    <w:numPr>
                      <w:ilvl w:val="0"/>
                      <w:numId w:val="1"/>
                    </w:numPr>
                    <w:rPr>
                      <w:rFonts w:ascii="Century Gothic" w:hAnsi="Century Gothic"/>
                    </w:rPr>
                  </w:pPr>
                  <w:r w:rsidRPr="008F1B35">
                    <w:rPr>
                      <w:rFonts w:ascii="Century Gothic" w:hAnsi="Century Gothic"/>
                    </w:rPr>
                    <w:t>Mejorar la participación de los accionistas.</w:t>
                  </w:r>
                </w:p>
                <w:p w14:paraId="4CA9D0E9" w14:textId="77777777" w:rsidR="008F1B35" w:rsidRPr="008F1B35" w:rsidRDefault="008F1B35" w:rsidP="008F1B35">
                  <w:pPr>
                    <w:numPr>
                      <w:ilvl w:val="0"/>
                      <w:numId w:val="1"/>
                    </w:numPr>
                    <w:rPr>
                      <w:rFonts w:ascii="Century Gothic" w:hAnsi="Century Gothic"/>
                    </w:rPr>
                  </w:pPr>
                  <w:r w:rsidRPr="008F1B35">
                    <w:rPr>
                      <w:rFonts w:ascii="Century Gothic" w:hAnsi="Century Gothic"/>
                    </w:rPr>
                    <w:t>Mejorar las divulgaciones empresariales y aumentar la credibilidad.</w:t>
                  </w:r>
                </w:p>
                <w:p w14:paraId="29C06B90" w14:textId="77777777" w:rsidR="008F1B35" w:rsidRPr="008F1B35" w:rsidRDefault="008F1B35" w:rsidP="008F1B35">
                  <w:pPr>
                    <w:numPr>
                      <w:ilvl w:val="0"/>
                      <w:numId w:val="1"/>
                    </w:numPr>
                    <w:rPr>
                      <w:rFonts w:ascii="Century Gothic" w:hAnsi="Century Gothic"/>
                    </w:rPr>
                  </w:pPr>
                  <w:r w:rsidRPr="008F1B35">
                    <w:rPr>
                      <w:rFonts w:ascii="Century Gothic" w:hAnsi="Century Gothic"/>
                    </w:rPr>
                    <w:t>Asegurar un mejor cumplimiento y gobernanza corporativa.</w:t>
                  </w:r>
                </w:p>
                <w:p w14:paraId="55EB42E3" w14:textId="77777777" w:rsidR="008F1B35" w:rsidRPr="008F1B35" w:rsidRDefault="008F1B35" w:rsidP="008F1B35">
                  <w:pPr>
                    <w:rPr>
                      <w:rFonts w:ascii="Century Gothic" w:hAnsi="Century Gothic"/>
                    </w:rPr>
                  </w:pPr>
                  <w:r w:rsidRPr="008F1B35">
                    <w:rPr>
                      <w:rFonts w:ascii="Century Gothic" w:hAnsi="Century Gothic"/>
                    </w:rPr>
                    <w:t>Para comprometer a los accionistas, es esencial saber cómo </w:t>
                  </w:r>
                  <w:hyperlink r:id="rId11" w:tgtFrame="_blank" w:history="1">
                    <w:r w:rsidRPr="008F1B35">
                      <w:rPr>
                        <w:rStyle w:val="Hyperlink"/>
                        <w:rFonts w:ascii="Century Gothic" w:hAnsi="Century Gothic"/>
                      </w:rPr>
                      <w:t>presentar y articular tu caso de inversión de manera convincente,</w:t>
                    </w:r>
                  </w:hyperlink>
                  <w:r w:rsidRPr="008F1B35">
                    <w:rPr>
                      <w:rFonts w:ascii="Century Gothic" w:hAnsi="Century Gothic"/>
                    </w:rPr>
                    <w:t> gestionar expectativas y posicionar a las IR como una función estratégica dentro de tu empresa.</w:t>
                  </w:r>
                </w:p>
                <w:p w14:paraId="52F44079" w14:textId="44AD4184" w:rsidR="008F1B35" w:rsidRPr="008F1B35" w:rsidRDefault="008F1B35" w:rsidP="008F1B35">
                  <w:pPr>
                    <w:rPr>
                      <w:rFonts w:ascii="Century Gothic" w:hAnsi="Century Gothic"/>
                    </w:rPr>
                  </w:pPr>
                  <w:r w:rsidRPr="008F1B35">
                    <w:rPr>
                      <w:rFonts w:ascii="Century Gothic" w:hAnsi="Century Gothic"/>
                    </w:rPr>
                    <w:t> </w:t>
                  </w:r>
                  <w:r w:rsidRPr="008F1B35">
                    <w:rPr>
                      <w:rFonts w:ascii="Century Gothic" w:hAnsi="Century Gothic"/>
                      <w:b/>
                      <w:bCs/>
                    </w:rPr>
                    <w:t>Un nuevo nivel para las relaciones con inversores</w:t>
                  </w:r>
                </w:p>
                <w:p w14:paraId="45C5BAFC" w14:textId="36521B98" w:rsidR="008F1B35" w:rsidRPr="008F1B35" w:rsidRDefault="008F1B35" w:rsidP="008F1B35">
                  <w:pPr>
                    <w:rPr>
                      <w:rFonts w:ascii="Century Gothic" w:hAnsi="Century Gothic"/>
                    </w:rPr>
                  </w:pPr>
                  <w:r w:rsidRPr="008F1B35">
                    <w:rPr>
                      <w:rFonts w:ascii="Century Gothic" w:hAnsi="Century Gothic"/>
                    </w:rPr>
                    <w:t>La importancia de una estrategia digital de IR radica en su capacidad para adaptarse a tu modelo de negocio en un panorama que cambia constantemente. Las formas tradicionales de comunicación están perdiendo eficacia para atraer, involucrar y retener accionistas.</w:t>
                  </w:r>
                </w:p>
                <w:p w14:paraId="4DA33814" w14:textId="65F1DCC9" w:rsidR="008F1B35" w:rsidRPr="008F1B35" w:rsidRDefault="008F1B35" w:rsidP="008F1B35">
                  <w:pPr>
                    <w:rPr>
                      <w:rFonts w:ascii="Century Gothic" w:hAnsi="Century Gothic"/>
                    </w:rPr>
                  </w:pPr>
                </w:p>
                <w:p w14:paraId="06B5D3ED" w14:textId="1EB3FAFE" w:rsidR="008F1B35" w:rsidRDefault="008F1B35" w:rsidP="008F1B35">
                  <w:pPr>
                    <w:rPr>
                      <w:rFonts w:ascii="Century Gothic" w:hAnsi="Century Gothic"/>
                    </w:rPr>
                  </w:pPr>
                  <w:r w:rsidRPr="008F1B35">
                    <w:rPr>
                      <w:rFonts w:ascii="Century Gothic" w:hAnsi="Century Gothic"/>
                    </w:rPr>
                    <w:t>Con herramientas como </w:t>
                  </w:r>
                  <w:hyperlink r:id="rId12" w:tgtFrame="_blank" w:history="1">
                    <w:r w:rsidRPr="008F1B35">
                      <w:rPr>
                        <w:rStyle w:val="Hyperlink"/>
                        <w:rFonts w:ascii="Century Gothic" w:hAnsi="Century Gothic"/>
                      </w:rPr>
                      <w:t>Presspage,</w:t>
                    </w:r>
                  </w:hyperlink>
                  <w:r w:rsidRPr="008F1B35">
                    <w:rPr>
                      <w:rFonts w:ascii="Century Gothic" w:hAnsi="Century Gothic"/>
                    </w:rPr>
                    <w:t> puedes ofrecer una experiencia de comunicación y compromiso personalizado, proporcionando actualizaciones en tiempo real que fortalecen la relación con tus inversores.</w:t>
                  </w:r>
                </w:p>
                <w:p w14:paraId="669F7CEC" w14:textId="77777777" w:rsidR="008F1B35" w:rsidRPr="008F1B35" w:rsidRDefault="008F1B35" w:rsidP="008F1B35">
                  <w:pPr>
                    <w:rPr>
                      <w:rFonts w:ascii="Century Gothic" w:hAnsi="Century Gothic"/>
                    </w:rPr>
                  </w:pPr>
                </w:p>
                <w:p w14:paraId="11606A54" w14:textId="0A41EC53" w:rsidR="008F1B35" w:rsidRPr="008F1B35" w:rsidRDefault="008F1B35" w:rsidP="008F1B35">
                  <w:pPr>
                    <w:rPr>
                      <w:rFonts w:ascii="Century Gothic" w:hAnsi="Century Gothic"/>
                    </w:rPr>
                  </w:pPr>
                  <w:r w:rsidRPr="008F1B35">
                    <w:rPr>
                      <w:rFonts w:ascii="Century Gothic" w:hAnsi="Century Gothic"/>
                      <w:b/>
                      <w:bCs/>
                    </w:rPr>
                    <w:t>¿Listo para transformar tu estrategia de IR?</w:t>
                  </w:r>
                </w:p>
                <w:p w14:paraId="1F192AD5" w14:textId="7D87DD5C" w:rsidR="008F1B35" w:rsidRPr="008F1B35" w:rsidRDefault="008F1B35" w:rsidP="008F1B35">
                  <w:pPr>
                    <w:rPr>
                      <w:rFonts w:ascii="Century Gothic" w:hAnsi="Century Gothic"/>
                    </w:rPr>
                  </w:pPr>
                  <w:r w:rsidRPr="008F1B35">
                    <w:rPr>
                      <w:rFonts w:ascii="Century Gothic" w:hAnsi="Century Gothic"/>
                    </w:rPr>
                    <w:t>Ahora es el momento de empezar a utilizar </w:t>
                  </w:r>
                  <w:hyperlink r:id="rId13" w:tgtFrame="_blank" w:history="1">
                    <w:r w:rsidRPr="008F1B35">
                      <w:rPr>
                        <w:rStyle w:val="Hyperlink"/>
                        <w:rFonts w:ascii="Century Gothic" w:hAnsi="Century Gothic"/>
                      </w:rPr>
                      <w:t>Presspage</w:t>
                    </w:r>
                  </w:hyperlink>
                  <w:r w:rsidRPr="008F1B35">
                    <w:rPr>
                      <w:rFonts w:ascii="Century Gothic" w:hAnsi="Century Gothic"/>
                    </w:rPr>
                    <w:t> para revolucionar tu enfoque en las relaciones con inversores.</w:t>
                  </w:r>
                </w:p>
                <w:p w14:paraId="238CF89C" w14:textId="77777777" w:rsidR="008F1B35" w:rsidRPr="008F1B35" w:rsidRDefault="008F1B35" w:rsidP="008F1B35">
                  <w:pPr>
                    <w:rPr>
                      <w:rFonts w:ascii="Century Gothic" w:hAnsi="Century Gothic"/>
                    </w:rPr>
                  </w:pPr>
                  <w:hyperlink r:id="rId14" w:tgtFrame="_blank" w:history="1">
                    <w:r w:rsidRPr="008F1B35">
                      <w:rPr>
                        <w:rStyle w:val="Hyperlink"/>
                        <w:rFonts w:ascii="Century Gothic" w:hAnsi="Century Gothic"/>
                        <w:b/>
                        <w:bCs/>
                      </w:rPr>
                      <w:t>Ref: Why you should invest in a digital IR strategy</w:t>
                    </w:r>
                  </w:hyperlink>
                </w:p>
                <w:p w14:paraId="722A3A3B" w14:textId="77777777" w:rsidR="008F1B35" w:rsidRPr="008F1B35" w:rsidRDefault="008F1B35" w:rsidP="008F1B35">
                  <w:pPr>
                    <w:rPr>
                      <w:rFonts w:ascii="Century Gothic" w:hAnsi="Century Gothic"/>
                    </w:rPr>
                  </w:pPr>
                  <w:r w:rsidRPr="008F1B35">
                    <w:rPr>
                      <w:rFonts w:ascii="Century Gothic" w:hAnsi="Century Gothic"/>
                      <w:b/>
                      <w:bCs/>
                    </w:rPr>
                    <w:t>Más información: </w:t>
                  </w:r>
                  <w:hyperlink r:id="rId15" w:tgtFrame="_blank" w:history="1">
                    <w:r w:rsidRPr="008F1B35">
                      <w:rPr>
                        <w:rStyle w:val="Hyperlink"/>
                        <w:rFonts w:ascii="Century Gothic" w:hAnsi="Century Gothic"/>
                      </w:rPr>
                      <w:t>El poder del software Presspage para una eficaz sala de prensa y de inversores</w:t>
                    </w:r>
                  </w:hyperlink>
                </w:p>
                <w:p w14:paraId="5908E729" w14:textId="77777777" w:rsidR="008F1B35" w:rsidRPr="008F1B35" w:rsidRDefault="008F1B35" w:rsidP="008F1B35">
                  <w:pPr>
                    <w:rPr>
                      <w:rFonts w:ascii="Century Gothic" w:hAnsi="Century Gothic"/>
                    </w:rPr>
                  </w:pPr>
                  <w:r w:rsidRPr="008F1B35">
                    <w:rPr>
                      <w:rFonts w:ascii="Century Gothic" w:hAnsi="Century Gothic"/>
                    </w:rPr>
                    <w:t> </w:t>
                  </w:r>
                </w:p>
              </w:tc>
            </w:tr>
          </w:tbl>
          <w:p w14:paraId="1AE06E35" w14:textId="77777777" w:rsidR="008F1B35" w:rsidRPr="008F1B35" w:rsidRDefault="008F1B35" w:rsidP="008F1B35">
            <w:pPr>
              <w:rPr>
                <w:rFonts w:ascii="Century Gothic" w:hAnsi="Century Gothic"/>
              </w:rPr>
            </w:pPr>
          </w:p>
        </w:tc>
      </w:tr>
    </w:tbl>
    <w:p w14:paraId="60587F00" w14:textId="77777777" w:rsidR="008F1B35" w:rsidRPr="008F1B35" w:rsidRDefault="008F1B35" w:rsidP="008F1B35">
      <w:pPr>
        <w:rPr>
          <w:rFonts w:ascii="Century Gothic" w:hAnsi="Century Gothic"/>
          <w:vanish/>
        </w:rPr>
      </w:pPr>
    </w:p>
    <w:tbl>
      <w:tblPr>
        <w:tblW w:w="9000" w:type="dxa"/>
        <w:jc w:val="center"/>
        <w:tblCellMar>
          <w:left w:w="0" w:type="dxa"/>
          <w:right w:w="0" w:type="dxa"/>
        </w:tblCellMar>
        <w:tblLook w:val="04A0" w:firstRow="1" w:lastRow="0" w:firstColumn="1" w:lastColumn="0" w:noHBand="0" w:noVBand="1"/>
      </w:tblPr>
      <w:tblGrid>
        <w:gridCol w:w="9000"/>
      </w:tblGrid>
      <w:tr w:rsidR="008F1B35" w:rsidRPr="008F1B35" w14:paraId="472968F8" w14:textId="77777777" w:rsidTr="008F1B35">
        <w:trPr>
          <w:jc w:val="center"/>
        </w:trPr>
        <w:tc>
          <w:tcPr>
            <w:tcW w:w="0" w:type="auto"/>
            <w:tcMar>
              <w:top w:w="0" w:type="dxa"/>
              <w:left w:w="360" w:type="dxa"/>
              <w:bottom w:w="0" w:type="dxa"/>
              <w:right w:w="360" w:type="dxa"/>
            </w:tcMar>
            <w:hideMark/>
          </w:tcPr>
          <w:tbl>
            <w:tblPr>
              <w:tblW w:w="5000" w:type="pct"/>
              <w:tblCellMar>
                <w:left w:w="0" w:type="dxa"/>
                <w:right w:w="0" w:type="dxa"/>
              </w:tblCellMar>
              <w:tblLook w:val="04A0" w:firstRow="1" w:lastRow="0" w:firstColumn="1" w:lastColumn="0" w:noHBand="0" w:noVBand="1"/>
            </w:tblPr>
            <w:tblGrid>
              <w:gridCol w:w="8280"/>
            </w:tblGrid>
            <w:tr w:rsidR="008F1B35" w:rsidRPr="008F1B35" w14:paraId="4EF1F771" w14:textId="77777777">
              <w:tc>
                <w:tcPr>
                  <w:tcW w:w="0" w:type="auto"/>
                  <w:vAlign w:val="center"/>
                  <w:hideMark/>
                </w:tcPr>
                <w:p w14:paraId="3E0D03BC" w14:textId="77777777" w:rsidR="008F1B35" w:rsidRPr="008F1B35" w:rsidRDefault="008F1B35" w:rsidP="008F1B35">
                  <w:pPr>
                    <w:rPr>
                      <w:rFonts w:ascii="Century Gothic" w:hAnsi="Century Gothic"/>
                    </w:rPr>
                  </w:pPr>
                  <w:r w:rsidRPr="008F1B35">
                    <w:rPr>
                      <w:rFonts w:ascii="Century Gothic" w:hAnsi="Century Gothic"/>
                    </w:rPr>
                    <w:t>Sobre</w:t>
                  </w:r>
                  <w:hyperlink r:id="rId16" w:tgtFrame="_blank" w:history="1">
                    <w:r w:rsidRPr="008F1B35">
                      <w:rPr>
                        <w:rStyle w:val="Hyperlink"/>
                        <w:rFonts w:ascii="Century Gothic" w:hAnsi="Century Gothic"/>
                      </w:rPr>
                      <w:t> Presspage </w:t>
                    </w:r>
                  </w:hyperlink>
                </w:p>
                <w:p w14:paraId="145509E2" w14:textId="77777777" w:rsidR="008F1B35" w:rsidRPr="008F1B35" w:rsidRDefault="008F1B35" w:rsidP="008F1B35">
                  <w:pPr>
                    <w:rPr>
                      <w:rFonts w:ascii="Century Gothic" w:hAnsi="Century Gothic"/>
                    </w:rPr>
                  </w:pPr>
                  <w:hyperlink r:id="rId17" w:tgtFrame="_blank" w:history="1">
                    <w:r w:rsidRPr="008F1B35">
                      <w:rPr>
                        <w:rStyle w:val="Hyperlink"/>
                        <w:rFonts w:ascii="Century Gothic" w:hAnsi="Century Gothic"/>
                        <w:i/>
                        <w:iCs/>
                      </w:rPr>
                      <w:t>Presspage </w:t>
                    </w:r>
                  </w:hyperlink>
                  <w:r w:rsidRPr="008F1B35">
                    <w:rPr>
                      <w:rFonts w:ascii="Century Gothic" w:hAnsi="Century Gothic"/>
                      <w:i/>
                      <w:iCs/>
                    </w:rPr>
                    <w:t>se implemente directamente dentro de la página web. Se construye ad hoc según las necesidades de cada cliente, con su “look and feel”.  Escalable, permite crecer con el cliente. </w:t>
                  </w:r>
                </w:p>
                <w:p w14:paraId="1D68DAA0" w14:textId="77777777" w:rsidR="008F1B35" w:rsidRPr="008F1B35" w:rsidRDefault="008F1B35" w:rsidP="008F1B35">
                  <w:pPr>
                    <w:rPr>
                      <w:rFonts w:ascii="Century Gothic" w:hAnsi="Century Gothic"/>
                    </w:rPr>
                  </w:pPr>
                  <w:hyperlink r:id="rId18" w:tgtFrame="_blank" w:history="1">
                    <w:r w:rsidRPr="008F1B35">
                      <w:rPr>
                        <w:rStyle w:val="Hyperlink"/>
                        <w:rFonts w:ascii="Century Gothic" w:hAnsi="Century Gothic"/>
                        <w:i/>
                        <w:iCs/>
                      </w:rPr>
                      <w:t>Presspage</w:t>
                    </w:r>
                  </w:hyperlink>
                  <w:r w:rsidRPr="008F1B35">
                    <w:rPr>
                      <w:rFonts w:ascii="Century Gothic" w:hAnsi="Century Gothic"/>
                      <w:i/>
                      <w:iCs/>
                    </w:rPr>
                    <w:t> permite centralizar todas las actividades de comunicación, relaciones públicas y marketing en una sola plataforma disponible 24/7/365. Para ello, permite acceder de forma fácil a todo tipo de información como notas de prensa, archivos de fotografía, audio o vídeo, en alta y en baja resolución, así como realizar lanzamientos y campañas de comunicación generalistas o focalizadas en públicos de interés. Incorpora GPPR, Seguridad, SEO y monitoring. </w:t>
                  </w:r>
                </w:p>
                <w:p w14:paraId="5A97F674" w14:textId="77777777" w:rsidR="008F1B35" w:rsidRPr="008F1B35" w:rsidRDefault="008F1B35" w:rsidP="008F1B35">
                  <w:pPr>
                    <w:rPr>
                      <w:rFonts w:ascii="Century Gothic" w:hAnsi="Century Gothic"/>
                    </w:rPr>
                  </w:pPr>
                  <w:r w:rsidRPr="008F1B35">
                    <w:rPr>
                      <w:rFonts w:ascii="Century Gothic" w:hAnsi="Century Gothic"/>
                      <w:i/>
                      <w:iCs/>
                    </w:rPr>
                    <w:t>El email Presspage incorpora un servicio de distribución a +800 mil periodistas en todo el mundo, que se personaliza según necesidades del cliente y además proporciona información directa sobre los resultados.</w:t>
                  </w:r>
                </w:p>
                <w:p w14:paraId="12D6A12D" w14:textId="77777777" w:rsidR="008F1B35" w:rsidRPr="008F1B35" w:rsidRDefault="008F1B35" w:rsidP="008F1B35">
                  <w:pPr>
                    <w:rPr>
                      <w:rFonts w:ascii="Century Gothic" w:hAnsi="Century Gothic"/>
                    </w:rPr>
                  </w:pPr>
                  <w:r w:rsidRPr="008F1B35">
                    <w:rPr>
                      <w:rFonts w:ascii="Century Gothic" w:hAnsi="Century Gothic"/>
                    </w:rPr>
                    <w:t>Esta información se ha publicado con tecnología </w:t>
                  </w:r>
                  <w:hyperlink r:id="rId19" w:tgtFrame="_blank" w:history="1">
                    <w:r w:rsidRPr="008F1B35">
                      <w:rPr>
                        <w:rStyle w:val="Hyperlink"/>
                        <w:rFonts w:ascii="Century Gothic" w:hAnsi="Century Gothic"/>
                      </w:rPr>
                      <w:t>PressPage</w:t>
                    </w:r>
                  </w:hyperlink>
                  <w:r w:rsidRPr="008F1B35">
                    <w:rPr>
                      <w:rFonts w:ascii="Century Gothic" w:hAnsi="Century Gothic"/>
                    </w:rPr>
                    <w:t>, líder mundial en software para </w:t>
                  </w:r>
                  <w:hyperlink r:id="rId20" w:tgtFrame="_blank" w:history="1">
                    <w:r w:rsidRPr="008F1B35">
                      <w:rPr>
                        <w:rStyle w:val="Hyperlink"/>
                        <w:rFonts w:ascii="Century Gothic" w:hAnsi="Century Gothic"/>
                      </w:rPr>
                      <w:t>salas de prensa.</w:t>
                    </w:r>
                  </w:hyperlink>
                </w:p>
              </w:tc>
            </w:tr>
          </w:tbl>
          <w:p w14:paraId="33AE7774" w14:textId="77777777" w:rsidR="008F1B35" w:rsidRPr="008F1B35" w:rsidRDefault="008F1B35" w:rsidP="008F1B35">
            <w:pPr>
              <w:rPr>
                <w:rFonts w:ascii="Century Gothic" w:hAnsi="Century Gothic"/>
              </w:rPr>
            </w:pPr>
          </w:p>
        </w:tc>
      </w:tr>
    </w:tbl>
    <w:p w14:paraId="1AACC50B" w14:textId="77777777" w:rsidR="008F1B35" w:rsidRPr="008F1B35" w:rsidRDefault="008F1B35" w:rsidP="008F1B35">
      <w:pPr>
        <w:rPr>
          <w:rFonts w:ascii="Century Gothic" w:hAnsi="Century Gothic"/>
          <w:vanish/>
        </w:rPr>
      </w:pPr>
    </w:p>
    <w:tbl>
      <w:tblPr>
        <w:tblW w:w="9000" w:type="dxa"/>
        <w:jc w:val="center"/>
        <w:tblCellMar>
          <w:left w:w="0" w:type="dxa"/>
          <w:right w:w="0" w:type="dxa"/>
        </w:tblCellMar>
        <w:tblLook w:val="04A0" w:firstRow="1" w:lastRow="0" w:firstColumn="1" w:lastColumn="0" w:noHBand="0" w:noVBand="1"/>
      </w:tblPr>
      <w:tblGrid>
        <w:gridCol w:w="9000"/>
      </w:tblGrid>
      <w:tr w:rsidR="008F1B35" w:rsidRPr="008F1B35" w14:paraId="05E355C8" w14:textId="77777777" w:rsidTr="008F1B35">
        <w:trPr>
          <w:jc w:val="center"/>
        </w:trPr>
        <w:tc>
          <w:tcPr>
            <w:tcW w:w="0" w:type="auto"/>
            <w:tcMar>
              <w:top w:w="0" w:type="dxa"/>
              <w:left w:w="360" w:type="dxa"/>
              <w:bottom w:w="0" w:type="dxa"/>
              <w:right w:w="360" w:type="dxa"/>
            </w:tcMar>
            <w:hideMark/>
          </w:tcPr>
          <w:tbl>
            <w:tblPr>
              <w:tblW w:w="5000" w:type="pct"/>
              <w:tblCellMar>
                <w:left w:w="0" w:type="dxa"/>
                <w:right w:w="0" w:type="dxa"/>
              </w:tblCellMar>
              <w:tblLook w:val="04A0" w:firstRow="1" w:lastRow="0" w:firstColumn="1" w:lastColumn="0" w:noHBand="0" w:noVBand="1"/>
            </w:tblPr>
            <w:tblGrid>
              <w:gridCol w:w="8280"/>
            </w:tblGrid>
            <w:tr w:rsidR="008F1B35" w:rsidRPr="008F1B35" w14:paraId="5835962A" w14:textId="77777777">
              <w:tc>
                <w:tcPr>
                  <w:tcW w:w="0" w:type="auto"/>
                  <w:vAlign w:val="center"/>
                  <w:hideMark/>
                </w:tcPr>
                <w:p w14:paraId="769A7D38" w14:textId="2FD30721" w:rsidR="008F1B35" w:rsidRPr="008F1B35" w:rsidRDefault="008F1B35" w:rsidP="008F1B35">
                  <w:pPr>
                    <w:rPr>
                      <w:rFonts w:ascii="Century Gothic" w:hAnsi="Century Gothic"/>
                    </w:rPr>
                  </w:pPr>
                  <w:r w:rsidRPr="008F1B35">
                    <w:rPr>
                      <w:rFonts w:ascii="Century Gothic" w:hAnsi="Century Gothic"/>
                      <w:b/>
                      <w:bCs/>
                    </w:rPr>
                    <w:t>Si desean saber más sobre la plataforma Presspage para comms o relaciones con inversores, pueden contactar conmigo, por email: </w:t>
                  </w:r>
                  <w:hyperlink r:id="rId21" w:tgtFrame="_blank" w:history="1">
                    <w:r w:rsidRPr="008F1B35">
                      <w:rPr>
                        <w:rStyle w:val="Hyperlink"/>
                        <w:rFonts w:ascii="Century Gothic" w:hAnsi="Century Gothic"/>
                        <w:b/>
                        <w:bCs/>
                      </w:rPr>
                      <w:t>lucrecia@mediatoolstv.com</w:t>
                    </w:r>
                  </w:hyperlink>
                  <w:r w:rsidRPr="008F1B35">
                    <w:rPr>
                      <w:rFonts w:ascii="Century Gothic" w:hAnsi="Century Gothic"/>
                      <w:b/>
                      <w:bCs/>
                    </w:rPr>
                    <w:t>  </w:t>
                  </w:r>
                </w:p>
                <w:p w14:paraId="1FC2C681" w14:textId="77777777" w:rsidR="008F1B35" w:rsidRPr="008F1B35" w:rsidRDefault="008F1B35" w:rsidP="008F1B35">
                  <w:pPr>
                    <w:rPr>
                      <w:rFonts w:ascii="Century Gothic" w:hAnsi="Century Gothic"/>
                    </w:rPr>
                  </w:pPr>
                  <w:r w:rsidRPr="008F1B35">
                    <w:rPr>
                      <w:rFonts w:ascii="Century Gothic" w:hAnsi="Century Gothic"/>
                      <w:b/>
                      <w:bCs/>
                    </w:rPr>
                    <w:t>¡Mil gracias!</w:t>
                  </w:r>
                </w:p>
                <w:p w14:paraId="0E4611C4" w14:textId="77777777" w:rsidR="008F1B35" w:rsidRPr="008F1B35" w:rsidRDefault="008F1B35" w:rsidP="008F1B35">
                  <w:pPr>
                    <w:rPr>
                      <w:rFonts w:ascii="Century Gothic" w:hAnsi="Century Gothic"/>
                    </w:rPr>
                  </w:pPr>
                  <w:r w:rsidRPr="008F1B35">
                    <w:rPr>
                      <w:rFonts w:ascii="Century Gothic" w:hAnsi="Century Gothic"/>
                      <w:b/>
                      <w:bCs/>
                    </w:rPr>
                    <w:t>Lucrecia Aldao</w:t>
                  </w:r>
                </w:p>
                <w:p w14:paraId="312449F2" w14:textId="77777777" w:rsidR="008F1B35" w:rsidRPr="008F1B35" w:rsidRDefault="008F1B35" w:rsidP="008F1B35">
                  <w:pPr>
                    <w:rPr>
                      <w:rFonts w:ascii="Century Gothic" w:hAnsi="Century Gothic"/>
                    </w:rPr>
                  </w:pPr>
                  <w:r w:rsidRPr="008F1B35">
                    <w:rPr>
                      <w:rFonts w:ascii="Century Gothic" w:hAnsi="Century Gothic"/>
                      <w:b/>
                      <w:bCs/>
                    </w:rPr>
                    <w:t>visita nuestra</w:t>
                  </w:r>
                  <w:hyperlink r:id="rId22" w:tgtFrame="_blank" w:history="1">
                    <w:r w:rsidRPr="008F1B35">
                      <w:rPr>
                        <w:rStyle w:val="Hyperlink"/>
                        <w:rFonts w:ascii="Century Gothic" w:hAnsi="Century Gothic"/>
                        <w:b/>
                        <w:bCs/>
                      </w:rPr>
                      <w:t> sala de prensa Presspage</w:t>
                    </w:r>
                  </w:hyperlink>
                </w:p>
              </w:tc>
            </w:tr>
          </w:tbl>
          <w:p w14:paraId="1ACEAD84" w14:textId="77777777" w:rsidR="008F1B35" w:rsidRPr="008F1B35" w:rsidRDefault="008F1B35" w:rsidP="008F1B35">
            <w:pPr>
              <w:rPr>
                <w:rFonts w:ascii="Century Gothic" w:hAnsi="Century Gothic"/>
              </w:rPr>
            </w:pPr>
          </w:p>
        </w:tc>
      </w:tr>
    </w:tbl>
    <w:p w14:paraId="7D5E8F4D" w14:textId="77777777" w:rsidR="008F1B35" w:rsidRPr="008F1B35" w:rsidRDefault="008F1B35" w:rsidP="008F1B35">
      <w:pPr>
        <w:rPr>
          <w:rFonts w:ascii="Century Gothic" w:hAnsi="Century Gothic"/>
          <w:vanish/>
        </w:rPr>
      </w:pPr>
    </w:p>
    <w:tbl>
      <w:tblPr>
        <w:tblW w:w="9000" w:type="dxa"/>
        <w:jc w:val="center"/>
        <w:tblCellMar>
          <w:left w:w="0" w:type="dxa"/>
          <w:right w:w="0" w:type="dxa"/>
        </w:tblCellMar>
        <w:tblLook w:val="04A0" w:firstRow="1" w:lastRow="0" w:firstColumn="1" w:lastColumn="0" w:noHBand="0" w:noVBand="1"/>
      </w:tblPr>
      <w:tblGrid>
        <w:gridCol w:w="9000"/>
      </w:tblGrid>
      <w:tr w:rsidR="008F1B35" w:rsidRPr="008F1B35" w14:paraId="190D050D" w14:textId="77777777" w:rsidTr="008F1B35">
        <w:trPr>
          <w:jc w:val="center"/>
        </w:trPr>
        <w:tc>
          <w:tcPr>
            <w:tcW w:w="0" w:type="auto"/>
            <w:tcMar>
              <w:top w:w="0" w:type="dxa"/>
              <w:left w:w="360" w:type="dxa"/>
              <w:bottom w:w="0" w:type="dxa"/>
              <w:right w:w="360" w:type="dxa"/>
            </w:tcMar>
            <w:hideMark/>
          </w:tcPr>
          <w:tbl>
            <w:tblPr>
              <w:tblW w:w="5000" w:type="pct"/>
              <w:tblCellMar>
                <w:left w:w="0" w:type="dxa"/>
                <w:right w:w="0" w:type="dxa"/>
              </w:tblCellMar>
              <w:tblLook w:val="04A0" w:firstRow="1" w:lastRow="0" w:firstColumn="1" w:lastColumn="0" w:noHBand="0" w:noVBand="1"/>
            </w:tblPr>
            <w:tblGrid>
              <w:gridCol w:w="8280"/>
            </w:tblGrid>
            <w:tr w:rsidR="008F1B35" w:rsidRPr="008F1B35" w14:paraId="079B757A" w14:textId="77777777">
              <w:tc>
                <w:tcPr>
                  <w:tcW w:w="0" w:type="auto"/>
                  <w:vAlign w:val="center"/>
                  <w:hideMark/>
                </w:tcPr>
                <w:p w14:paraId="2FAC7F46" w14:textId="77777777" w:rsidR="008F1B35" w:rsidRPr="008F1B35" w:rsidRDefault="008F1B35" w:rsidP="008F1B35">
                  <w:pPr>
                    <w:divId w:val="329257285"/>
                    <w:rPr>
                      <w:rFonts w:ascii="Century Gothic" w:hAnsi="Century Gothic"/>
                    </w:rPr>
                  </w:pPr>
                  <w:r w:rsidRPr="008F1B35">
                    <w:rPr>
                      <w:rFonts w:ascii="Century Gothic" w:hAnsi="Century Gothic"/>
                    </w:rPr>
                    <w:t>URL : </w:t>
                  </w:r>
                  <w:hyperlink r:id="rId23" w:tgtFrame="_blank" w:history="1">
                    <w:r w:rsidRPr="008F1B35">
                      <w:rPr>
                        <w:rStyle w:val="Hyperlink"/>
                        <w:rFonts w:ascii="Century Gothic" w:hAnsi="Century Gothic"/>
                      </w:rPr>
                      <w:t>https://pressroom.mediatoolstv.com/por-que-deberia-invertir-en-una-estrategia-digital-de-relaciones-con-inversores/</w:t>
                    </w:r>
                  </w:hyperlink>
                </w:p>
              </w:tc>
            </w:tr>
          </w:tbl>
          <w:p w14:paraId="71F68303" w14:textId="77777777" w:rsidR="008F1B35" w:rsidRPr="008F1B35" w:rsidRDefault="008F1B35" w:rsidP="008F1B35">
            <w:pPr>
              <w:rPr>
                <w:rFonts w:ascii="Century Gothic" w:hAnsi="Century Gothic"/>
              </w:rPr>
            </w:pPr>
          </w:p>
        </w:tc>
      </w:tr>
    </w:tbl>
    <w:p w14:paraId="1CAFD674" w14:textId="77777777" w:rsidR="008F1B35" w:rsidRPr="008F1B35" w:rsidRDefault="008F1B35">
      <w:pPr>
        <w:rPr>
          <w:rFonts w:ascii="Century Gothic" w:hAnsi="Century Gothic"/>
        </w:rPr>
      </w:pPr>
    </w:p>
    <w:sectPr w:rsidR="008F1B35" w:rsidRPr="008F1B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053B3"/>
    <w:multiLevelType w:val="multilevel"/>
    <w:tmpl w:val="7BEEB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806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B35"/>
    <w:rsid w:val="008F1B35"/>
    <w:rsid w:val="00AA001C"/>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3407D2E1"/>
  <w15:chartTrackingRefBased/>
  <w15:docId w15:val="{D9CDB262-1238-6941-AFB4-B545E584F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1B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1B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1B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1B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1B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1B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B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B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B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B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1B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1B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B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1B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1B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B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B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B35"/>
    <w:rPr>
      <w:rFonts w:eastAsiaTheme="majorEastAsia" w:cstheme="majorBidi"/>
      <w:color w:val="272727" w:themeColor="text1" w:themeTint="D8"/>
    </w:rPr>
  </w:style>
  <w:style w:type="paragraph" w:styleId="Title">
    <w:name w:val="Title"/>
    <w:basedOn w:val="Normal"/>
    <w:next w:val="Normal"/>
    <w:link w:val="TitleChar"/>
    <w:uiPriority w:val="10"/>
    <w:qFormat/>
    <w:rsid w:val="008F1B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B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B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B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B35"/>
    <w:pPr>
      <w:spacing w:before="160"/>
      <w:jc w:val="center"/>
    </w:pPr>
    <w:rPr>
      <w:i/>
      <w:iCs/>
      <w:color w:val="404040" w:themeColor="text1" w:themeTint="BF"/>
    </w:rPr>
  </w:style>
  <w:style w:type="character" w:customStyle="1" w:styleId="QuoteChar">
    <w:name w:val="Quote Char"/>
    <w:basedOn w:val="DefaultParagraphFont"/>
    <w:link w:val="Quote"/>
    <w:uiPriority w:val="29"/>
    <w:rsid w:val="008F1B35"/>
    <w:rPr>
      <w:i/>
      <w:iCs/>
      <w:color w:val="404040" w:themeColor="text1" w:themeTint="BF"/>
    </w:rPr>
  </w:style>
  <w:style w:type="paragraph" w:styleId="ListParagraph">
    <w:name w:val="List Paragraph"/>
    <w:basedOn w:val="Normal"/>
    <w:uiPriority w:val="34"/>
    <w:qFormat/>
    <w:rsid w:val="008F1B35"/>
    <w:pPr>
      <w:ind w:left="720"/>
      <w:contextualSpacing/>
    </w:pPr>
  </w:style>
  <w:style w:type="character" w:styleId="IntenseEmphasis">
    <w:name w:val="Intense Emphasis"/>
    <w:basedOn w:val="DefaultParagraphFont"/>
    <w:uiPriority w:val="21"/>
    <w:qFormat/>
    <w:rsid w:val="008F1B35"/>
    <w:rPr>
      <w:i/>
      <w:iCs/>
      <w:color w:val="0F4761" w:themeColor="accent1" w:themeShade="BF"/>
    </w:rPr>
  </w:style>
  <w:style w:type="paragraph" w:styleId="IntenseQuote">
    <w:name w:val="Intense Quote"/>
    <w:basedOn w:val="Normal"/>
    <w:next w:val="Normal"/>
    <w:link w:val="IntenseQuoteChar"/>
    <w:uiPriority w:val="30"/>
    <w:qFormat/>
    <w:rsid w:val="008F1B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1B35"/>
    <w:rPr>
      <w:i/>
      <w:iCs/>
      <w:color w:val="0F4761" w:themeColor="accent1" w:themeShade="BF"/>
    </w:rPr>
  </w:style>
  <w:style w:type="character" w:styleId="IntenseReference">
    <w:name w:val="Intense Reference"/>
    <w:basedOn w:val="DefaultParagraphFont"/>
    <w:uiPriority w:val="32"/>
    <w:qFormat/>
    <w:rsid w:val="008F1B35"/>
    <w:rPr>
      <w:b/>
      <w:bCs/>
      <w:smallCaps/>
      <w:color w:val="0F4761" w:themeColor="accent1" w:themeShade="BF"/>
      <w:spacing w:val="5"/>
    </w:rPr>
  </w:style>
  <w:style w:type="character" w:styleId="Hyperlink">
    <w:name w:val="Hyperlink"/>
    <w:basedOn w:val="DefaultParagraphFont"/>
    <w:uiPriority w:val="99"/>
    <w:unhideWhenUsed/>
    <w:rsid w:val="008F1B35"/>
    <w:rPr>
      <w:color w:val="467886" w:themeColor="hyperlink"/>
      <w:u w:val="single"/>
    </w:rPr>
  </w:style>
  <w:style w:type="character" w:styleId="UnresolvedMention">
    <w:name w:val="Unresolved Mention"/>
    <w:basedOn w:val="DefaultParagraphFont"/>
    <w:uiPriority w:val="99"/>
    <w:semiHidden/>
    <w:unhideWhenUsed/>
    <w:rsid w:val="008F1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44555">
      <w:bodyDiv w:val="1"/>
      <w:marLeft w:val="0"/>
      <w:marRight w:val="0"/>
      <w:marTop w:val="0"/>
      <w:marBottom w:val="0"/>
      <w:divBdr>
        <w:top w:val="none" w:sz="0" w:space="0" w:color="auto"/>
        <w:left w:val="none" w:sz="0" w:space="0" w:color="auto"/>
        <w:bottom w:val="none" w:sz="0" w:space="0" w:color="auto"/>
        <w:right w:val="none" w:sz="0" w:space="0" w:color="auto"/>
      </w:divBdr>
      <w:divsChild>
        <w:div w:id="170608798">
          <w:marLeft w:val="0"/>
          <w:marRight w:val="0"/>
          <w:marTop w:val="0"/>
          <w:marBottom w:val="150"/>
          <w:divBdr>
            <w:top w:val="none" w:sz="0" w:space="0" w:color="auto"/>
            <w:left w:val="none" w:sz="0" w:space="0" w:color="auto"/>
            <w:bottom w:val="none" w:sz="0" w:space="0" w:color="auto"/>
            <w:right w:val="none" w:sz="0" w:space="0" w:color="auto"/>
          </w:divBdr>
        </w:div>
        <w:div w:id="1084961454">
          <w:marLeft w:val="0"/>
          <w:marRight w:val="0"/>
          <w:marTop w:val="0"/>
          <w:marBottom w:val="150"/>
          <w:divBdr>
            <w:top w:val="none" w:sz="0" w:space="0" w:color="auto"/>
            <w:left w:val="none" w:sz="0" w:space="0" w:color="auto"/>
            <w:bottom w:val="none" w:sz="0" w:space="0" w:color="auto"/>
            <w:right w:val="none" w:sz="0" w:space="0" w:color="auto"/>
          </w:divBdr>
        </w:div>
        <w:div w:id="382363801">
          <w:marLeft w:val="0"/>
          <w:marRight w:val="0"/>
          <w:marTop w:val="0"/>
          <w:marBottom w:val="150"/>
          <w:divBdr>
            <w:top w:val="none" w:sz="0" w:space="0" w:color="auto"/>
            <w:left w:val="none" w:sz="0" w:space="0" w:color="auto"/>
            <w:bottom w:val="none" w:sz="0" w:space="0" w:color="auto"/>
            <w:right w:val="none" w:sz="0" w:space="0" w:color="auto"/>
          </w:divBdr>
        </w:div>
        <w:div w:id="360055882">
          <w:marLeft w:val="0"/>
          <w:marRight w:val="0"/>
          <w:marTop w:val="0"/>
          <w:marBottom w:val="150"/>
          <w:divBdr>
            <w:top w:val="none" w:sz="0" w:space="0" w:color="auto"/>
            <w:left w:val="none" w:sz="0" w:space="0" w:color="auto"/>
            <w:bottom w:val="none" w:sz="0" w:space="0" w:color="auto"/>
            <w:right w:val="none" w:sz="0" w:space="0" w:color="auto"/>
          </w:divBdr>
        </w:div>
        <w:div w:id="2058509571">
          <w:marLeft w:val="0"/>
          <w:marRight w:val="0"/>
          <w:marTop w:val="0"/>
          <w:marBottom w:val="150"/>
          <w:divBdr>
            <w:top w:val="none" w:sz="0" w:space="0" w:color="auto"/>
            <w:left w:val="none" w:sz="0" w:space="0" w:color="auto"/>
            <w:bottom w:val="none" w:sz="0" w:space="0" w:color="auto"/>
            <w:right w:val="none" w:sz="0" w:space="0" w:color="auto"/>
          </w:divBdr>
        </w:div>
        <w:div w:id="329257285">
          <w:marLeft w:val="0"/>
          <w:marRight w:val="0"/>
          <w:marTop w:val="0"/>
          <w:marBottom w:val="150"/>
          <w:divBdr>
            <w:top w:val="none" w:sz="0" w:space="0" w:color="auto"/>
            <w:left w:val="none" w:sz="0" w:space="0" w:color="auto"/>
            <w:bottom w:val="none" w:sz="0" w:space="0" w:color="auto"/>
            <w:right w:val="none" w:sz="0" w:space="0" w:color="auto"/>
          </w:divBdr>
        </w:div>
      </w:divsChild>
    </w:div>
    <w:div w:id="779108030">
      <w:bodyDiv w:val="1"/>
      <w:marLeft w:val="0"/>
      <w:marRight w:val="0"/>
      <w:marTop w:val="0"/>
      <w:marBottom w:val="0"/>
      <w:divBdr>
        <w:top w:val="none" w:sz="0" w:space="0" w:color="auto"/>
        <w:left w:val="none" w:sz="0" w:space="0" w:color="auto"/>
        <w:bottom w:val="none" w:sz="0" w:space="0" w:color="auto"/>
        <w:right w:val="none" w:sz="0" w:space="0" w:color="auto"/>
      </w:divBdr>
      <w:divsChild>
        <w:div w:id="306015880">
          <w:marLeft w:val="0"/>
          <w:marRight w:val="0"/>
          <w:marTop w:val="0"/>
          <w:marBottom w:val="150"/>
          <w:divBdr>
            <w:top w:val="none" w:sz="0" w:space="0" w:color="auto"/>
            <w:left w:val="none" w:sz="0" w:space="0" w:color="auto"/>
            <w:bottom w:val="none" w:sz="0" w:space="0" w:color="auto"/>
            <w:right w:val="none" w:sz="0" w:space="0" w:color="auto"/>
          </w:divBdr>
        </w:div>
        <w:div w:id="1198006135">
          <w:marLeft w:val="0"/>
          <w:marRight w:val="0"/>
          <w:marTop w:val="0"/>
          <w:marBottom w:val="150"/>
          <w:divBdr>
            <w:top w:val="none" w:sz="0" w:space="0" w:color="auto"/>
            <w:left w:val="none" w:sz="0" w:space="0" w:color="auto"/>
            <w:bottom w:val="none" w:sz="0" w:space="0" w:color="auto"/>
            <w:right w:val="none" w:sz="0" w:space="0" w:color="auto"/>
          </w:divBdr>
        </w:div>
        <w:div w:id="108017889">
          <w:marLeft w:val="0"/>
          <w:marRight w:val="0"/>
          <w:marTop w:val="0"/>
          <w:marBottom w:val="150"/>
          <w:divBdr>
            <w:top w:val="none" w:sz="0" w:space="0" w:color="auto"/>
            <w:left w:val="none" w:sz="0" w:space="0" w:color="auto"/>
            <w:bottom w:val="none" w:sz="0" w:space="0" w:color="auto"/>
            <w:right w:val="none" w:sz="0" w:space="0" w:color="auto"/>
          </w:divBdr>
        </w:div>
        <w:div w:id="1907497074">
          <w:marLeft w:val="0"/>
          <w:marRight w:val="0"/>
          <w:marTop w:val="0"/>
          <w:marBottom w:val="150"/>
          <w:divBdr>
            <w:top w:val="none" w:sz="0" w:space="0" w:color="auto"/>
            <w:left w:val="none" w:sz="0" w:space="0" w:color="auto"/>
            <w:bottom w:val="none" w:sz="0" w:space="0" w:color="auto"/>
            <w:right w:val="none" w:sz="0" w:space="0" w:color="auto"/>
          </w:divBdr>
        </w:div>
        <w:div w:id="81027427">
          <w:marLeft w:val="0"/>
          <w:marRight w:val="0"/>
          <w:marTop w:val="0"/>
          <w:marBottom w:val="150"/>
          <w:divBdr>
            <w:top w:val="none" w:sz="0" w:space="0" w:color="auto"/>
            <w:left w:val="none" w:sz="0" w:space="0" w:color="auto"/>
            <w:bottom w:val="none" w:sz="0" w:space="0" w:color="auto"/>
            <w:right w:val="none" w:sz="0" w:space="0" w:color="auto"/>
          </w:divBdr>
        </w:div>
        <w:div w:id="87781193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mediatoolstv.senderservices.net/c/eJyE0DuO7CAQheHVQNYWlB-YgOAmbKNVhqK7JAxXwLg1ux85nWRWcL7zR4d2I5wlOW3m3YKGTUs6kfOToxMA-6a0EgDy7Y6kAdZlXS0kgyluxlp77BQWsy8qkGQHClYFyii7aKWngHE-TNgS4TxTOsSiToqMo9bcxzV1KpFap3ZxoD4VGjK79xj_u5j_CfAC_OfzmV7YRqE2hXoK8FQE-MQFSyAB_pVr79i-BXguF_VR26NRxsG19Ae3h2wuf4VGgfH3fqinvA1cXs9YT-RyX_6DeMe4HPwEAAD__2T1Z6E" TargetMode="External"/><Relationship Id="rId13" Type="http://schemas.openxmlformats.org/officeDocument/2006/relationships/hyperlink" Target="https://email.mediatoolstv.senderservices.net/c/eJyEz0GOhCAQQNHTwNJAoSgLFrPxGh2sKrpJRAwwev2J29n0Bf7PIx-c5WAkez2bxYEGqyXnkPZXIi8AFqu0EgDy4zVucQJ0NKFzZtrGxUbWFA3N6IxbZPKgYFKgZuVGrfSAgcw2o40cjOG4iVFlphR6KXvr19D4IK6N65WQ23Bwl7v_9H42YX4ErALW-76Hs3JrZ3jzgCULWGX1-y9WxhT-F7Fk-VTT8X5RySEdD-LL9OFdHv4CAAD__7G4Vzo" TargetMode="External"/><Relationship Id="rId18" Type="http://schemas.openxmlformats.org/officeDocument/2006/relationships/hyperlink" Target="https://email.mediatoolstv.senderservices.net/c/eJyEz0GOhCAQQNHTwNJAoaALFrPxGp2iKLtJRAzQev2J29nMBf7Pix4Xy2gke-3MvIAGqyVnTPsrRS8AZqu0EgDy43UwC4UwWkNqjE5PCt282XmezORwCTJ5UDApUE4to1Z6IIwmOLIbozG8BTGqzDFhL2Vv_RoaH5Fr43ol4jYc3OXuP72fwvwIWAWs930PZ-XWTnzzQCULWM9a4pe6rH7_UmVK-LdLJcunnY73K5aM6Xgo_6wf5OXhNwAA__9UWVki" TargetMode="External"/><Relationship Id="rId3" Type="http://schemas.openxmlformats.org/officeDocument/2006/relationships/settings" Target="settings.xml"/><Relationship Id="rId21" Type="http://schemas.openxmlformats.org/officeDocument/2006/relationships/hyperlink" Target="https://email.mediatoolstv.senderservices.net/c/eJyEz71uxCAQBOCngdJaFgKm2CLNvcZpgXVuJf9Ehvj5I7cpcvVoZvQ14hyFvRVyyc8ZHUZnZWNdn9rIIM4RHBhE-6IlZghLKZVLmGcJkAAwYE4YWihOrBICfgBCghwcuKly8yXVuAh7L0sxATZpyuM41j6uqcve5OxyXlqlT7sMu9JrjO9u_KfBh8HH-lNPqcp_q_XY7En_pfe47l_Pdmys-215830rL8LfAAAA___QFFmq" TargetMode="External"/><Relationship Id="rId7" Type="http://schemas.openxmlformats.org/officeDocument/2006/relationships/hyperlink" Target="https://email.mediatoolstv.senderservices.net/c/eJyE0LGOhCAQBuCngU4Dg6IWFNf4GpsRhl0SBAOor3-xuOaa7SbzN9__O4OLJlScjJzUvIAELTntGOIrOMMAZi2kYAD8YwDdOA8oNrTb7KfRo56lXqyX3k4WNh4MCBgFiEksgxSyt-jUNlntCZUiv7FB7OQCtpxjbVdfKTkqlcoVLNU-UePRfFo7KlM_DFYG633f_VGo1gPf1Nu8M1jzWbqa49lCTgzWv7PDQlgZrCFdVFsuXaGIT_I8eTHxtIVswP8Mm3f-UEJ6v1zeMaSn-Rfps8ll4DcAAP__hUFrsw" TargetMode="External"/><Relationship Id="rId12" Type="http://schemas.openxmlformats.org/officeDocument/2006/relationships/hyperlink" Target="https://email.mediatoolstv.senderservices.net/c/eJyEz0GOhCAQQNHTwNJAoSgLFrPxGh2sKrpJRAwwev2J29n0Bf7PIx-c5WAkez2bxYEGqyXnkPZXIi8AFqu0EgDy4zVucQJ0NKFzZtrGxUbWFA3N6IxbZPKgYFKgZuVGrfSAgcw2o40cjOG4iVFlphR6KXvr19D4IK6N65WQ23Bwl7v_9H42YX4ErALW-76Hs3JrZ3jzgCULWGX1-y9WxhT-F7Fk-VTT8X5RySEdD-LL9OFdHv4CAAD__7G4Vzo" TargetMode="External"/><Relationship Id="rId17" Type="http://schemas.openxmlformats.org/officeDocument/2006/relationships/hyperlink" Target="https://email.mediatoolstv.senderservices.net/c/eJyEz02urCAQQOHVwNAUhYIOGLyJ2-iUUN1Nwo8Bnm7_xumd3A2cky842gyTluyU1euGCo2SnCmmVwxOIK4GFAhE-XV0AASD2jKxB2VmhMUu2-otk7GBZHQIuACChW1WoCZPQR_WmzeT1vw-xAyZQ6RRa-rjmjqXwK1zu6LnPhUeMrnvGGcX-p_AXeB-3_d0Nu79pA9PvmaB-5modNlc-u8b-0i_s75m-aRj-bxCzRTLI_nj_Bgvhz8BAAD__zloWQ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mail.mediatoolstv.senderservices.net/c/eJyE0D1qxDAQhuHTSJ3NaGTLq0JFGl9jGUvjrEA_RvIaktMHl0mTbhj44OENjqxh0pKdWvTDokKjJGeK6RmDE4gPAwoEonw5S2AsmIddgLbZ79vGoKdZzbvXZtIoo0PAGRAWsJMCNXoKelu82Zm05n0TE2QOkc5aUz-vsXMJ3Dq3K3ruY-FTJvc6z6ML_SFwFbgejXtvtebx19LXLHDlNBw1cBsCD-9CA-_R0_fQKdH9OhqXTsPXfcdyceu1cRe4yubS2zf2kf6SfM3yZsXy-Qw1Uyx3hX_Ud5_L4U8AAAD__2Mkbq8" TargetMode="External"/><Relationship Id="rId20" Type="http://schemas.openxmlformats.org/officeDocument/2006/relationships/hyperlink" Target="https://email.mediatoolstv.senderservices.net/c/eJyEkLGOhCAURb8GSwMPBC0oJtn4B1NPnvBUMogTYDTz9xun3Garm5uc5hxvcdCEsiErjOwHEKBFQxuG-AjeMoBec8EZQLPaSfeIopOD1KRIiYn3SuHQg5hpVhM1wQKHjgM3fFCCi9ahl5NxeiaUkuaJKb6RD1j3PZZ6tIWSp1woH8FRaRPVJtq11ldh8sZgZDCe59nGkJ7kQ2rdvjEYZyLPYFyxrBWXC5Pjkz7nnn1h8qdgxOLplSkVZKDXsKwxLGslf395rHTP6eLeOTHo5C2G76Cr4Qj18z3aKA69MVpJM2jZGQFNtvHtMrmAfzXcvjWXSkjLw-8bhnSV-8f0anpY-A0AAP__hC98dA" TargetMode="External"/><Relationship Id="rId1" Type="http://schemas.openxmlformats.org/officeDocument/2006/relationships/numbering" Target="numbering.xml"/><Relationship Id="rId6" Type="http://schemas.openxmlformats.org/officeDocument/2006/relationships/hyperlink" Target="https://email.mediatoolstv.senderservices.net/c/eJyE0DGOwyAQheHTQIcFQ2yHgmKbXCMaw8QeCUMExFZuv3K7zdav-d4fPbqJ0EryZrZ3BwYmI2lHTk-OXgDcJ220AJCbd69lmcZwX8DhHEang73ZyRpEbccZo2QPGkYNetbuZrQZAka7zGF6EVpLr0Xc9E6RsZeSWj-GRjlSbVQPDtSGTF0mv_X-bsL-CHgIeJznObwrtfbGlYZQdgGPTGe7pu2rvuWj2lY-KSrOB7WuOCtUkVfumBRX1XrFTutXVp8-oVJg_MsIZZcXhfP6jGVHztfzf6RXk8PDbwAAAP__rytq7A" TargetMode="External"/><Relationship Id="rId11" Type="http://schemas.openxmlformats.org/officeDocument/2006/relationships/hyperlink" Target="https://email.mediatoolstv.senderservices.net/c/eJyE0DGShCAQQNHTQKYFzQxoQLCJ15hqoXW6SmAK0Ln-lukme4P3f_Q4W0IjyWtnphk0WC0pIR8vjl4ATFZpJQDk25PZEMNswD0nBy7aTa3gtNnMZK1ZJ8keFDwVKKfmh1Z6DBjN6oLdCI2hbRUPlSgy9lKO1q-xUY5UG9WLA7UxU5eHf_f-acL8CFgELN_vd_xUau2DO42hJAHLeXRO2GnYT440RN654zFwvqj1UodQUjozB-xcchOwyOqPM1QKjH8JoSR5Mzjvr1gScr6r_1HePy4PvwEAAP__AAlpoA" TargetMode="External"/><Relationship Id="rId24" Type="http://schemas.openxmlformats.org/officeDocument/2006/relationships/fontTable" Target="fontTable.xml"/><Relationship Id="rId5" Type="http://schemas.openxmlformats.org/officeDocument/2006/relationships/hyperlink" Target="https://email.mediatoolstv.senderservices.net/c/eJyEkLGO6yAQRb_GdFgwJMQuKF6T34jGwzgZyYa8gfj7V9ZWu83WV0c69-SEc2QMhpO_hWkGD9Eb3lG2h-Q0AEzReTcAmFdapmsgXtcVIVJc5slPq1swBO8hzkRGEji4OnA3N1-88yNhDsuN4soYAq_LcHE7Z8Fe69b6MTYumbWxHkLcxsLdbOnV-7sN4d8A9wHub-XWtNZ9_EFS3c-xqv3_YZt5YRW0Ug7WLmq52E9By60rdn4K2ixP6bjZzFZ5Q5JauFmq5RtqVbkNcDeatg8pk-BvWaq7OYWlPB-57ijl7PPHn7PckeArAAD__6nyeig" TargetMode="External"/><Relationship Id="rId15" Type="http://schemas.openxmlformats.org/officeDocument/2006/relationships/hyperlink" Target="https://email.mediatoolstv.senderservices.net/c/eJyE0D1qxDAQhuHTSJ3NaGTLq0JFGl9jGUvjrEA_RvIaktMHl0mTbhj44OENjqxh0pKdWvTDokKjJGeK6RmDE4gPAwoEonw5S2AsmIddgLbZ79vGoKdZzbvXZtIoo0PAGRAWsJMCNXoKelu82Zm05n0TE2QOkc5aUz-vsXMJ3Dq3K3ruY-FTJvc6z6ML_SFwFbgejXtvtebx19LXLHDlNBw1cBsCD-9CA-_R0_fQKdH9OhqXTsPXfcdyceu1cRe4yubS2zf2kf6SfM3yZsXy-Qw1Uyx3hX_Ud5_L4U8AAAD__2Mkbq8" TargetMode="External"/><Relationship Id="rId23" Type="http://schemas.openxmlformats.org/officeDocument/2006/relationships/hyperlink" Target="https://email.mediatoolstv.senderservices.net/c/eJyEkLGO6yAQRb_GdFgwJMQuKF6T34jGwzgZyYa8gfj7V9ZWu83WV0c69-SEc2QMhpO_hWkGD9Eb3lG2h-Q0AEzReTcAmFdapmsgXtcVIVJc5slPq1swBO8hzkRGEji4OnA3N1-88yNhDsuN4soYAq_LcHE7Z8Fe69b6MTYumbWxHkLcxsLdbOnV-7sN4d8A9wHub-XWtNZ9_EFS3c-xqv3_YZt5YRW0Ug7WLmq52E9By60rdn4K2ixP6bjZzFZ5Q5JauFmq5RtqVbkNcDeatg8pk-BvWaq7OYWlPB-57ijl7PPHn7PckeArAAD__6nyeig" TargetMode="External"/><Relationship Id="rId10" Type="http://schemas.openxmlformats.org/officeDocument/2006/relationships/hyperlink" Target="https://email.mediatoolstv.senderservices.net/c/eJyEkDGy6yAMRVcDXTwgHGIXFL9hGxlZEgnzbfAY4vW_ccrXvE66tzn3cMDZCzotwT7cNIMFb7VsmNdn5qAAJm-sUQD6HRZOFr1Nd2I_Tt74kcBZErxPggsvOgcwcDdgHmYerbEDIbvlQT4JOidpUaPZhDP2WtfWz6FJYTmaHGcmaUORrtfw7n1vyv1TEBVEbE16G_7v22uguimIVEuX0hVExuu_KgUxFwVx56QggrGzgmjGb3xK6_W4HbJiz7W0W_oU-l7DzkkfYf3QIZTxNx3VTV-EubyeXDfM5RLyx4BL1RngJwAA__-7tXEE" TargetMode="External"/><Relationship Id="rId19" Type="http://schemas.openxmlformats.org/officeDocument/2006/relationships/hyperlink" Target="https://email.mediatoolstv.senderservices.net/c/eJyEzzFuhDAQheHT2F2QPWYNFC7ScI3V7HjYHQXbCDug3D5C6dJs_Yr_fTHg5Bmd5mAHN05gwVvNCWW9SwwKYPTGGgWgX4HHZbHkLExm7GkBMuwRvR3iaGGINy0BDNwMmMFMvTW2I4zuMZBfGJ3j5aF6kzgKtlLW2o6uco68V94PIa5d5qbX8Gptq8p9KpgVzOd5dqvkL46SOypJwUwlbZh_FMzbzrVu-OSPv0XvYf2mnUnwf4pK0ldO8vMeS0LJl-7Nm8t9BPgNAAD__05dX9g" TargetMode="External"/><Relationship Id="rId4" Type="http://schemas.openxmlformats.org/officeDocument/2006/relationships/webSettings" Target="webSettings.xml"/><Relationship Id="rId9" Type="http://schemas.openxmlformats.org/officeDocument/2006/relationships/hyperlink" Target="https://email.mediatoolstv.senderservices.net/c/eJyE0MFuwyAQBNCvgVssWBJsDhx68W9Ea1iSlTBUQBz17ysfKlW99Dwa6c1Ej84SGklez2ZxoMFqSTtyvnP0AmCxSisBIJ9-obiZFAhncrfk7KIh3px2KoVEkKxkDwpuCtSs3FUrPQWMZpuDTYTGUNrEVe0UGUetuY9j6lQitU7t4EB9KjRk9s8xPrswHwJWAev7_Z425DKFugtYQy39lQeXx-WnJmDto-Ggx5eAlctBfdR2aZRxcC398iuVzedXaBQY_1pC3eXp4fK4x7ojl3P-P9zzmMPDdwAAAP__nkNtow" TargetMode="External"/><Relationship Id="rId14" Type="http://schemas.openxmlformats.org/officeDocument/2006/relationships/hyperlink" Target="https://email.mediatoolstv.senderservices.net/c/eJyE0DGOwyAQheHTQIcFQ2yHgmKbXCMaw8QeCUMExFZuv3K7zdav-d4fPbqJ0EryZrZ3BwYmI2lHTk-OXgDcJ220AJCbd69lmcZwX8DhHEang73ZyRpEbccZo2QPGkYNetbuZrQZAka7zGF6EVpLr0Xc9E6RsZeSWj-GRjlSbVQPDtSGTF0mv_X-bsL-CHgIeJznObwrtfbGlYZQdgGPTGe7pu2rvuWj2lY-KSrOB7WuOCtUkVfumBRX1XrFTutXVp8-oVJg_MsIZZcXhfP6jGVHztfzf6RXk8PDbwAAAP__rytq7A" TargetMode="External"/><Relationship Id="rId22" Type="http://schemas.openxmlformats.org/officeDocument/2006/relationships/hyperlink" Target="https://email.mediatoolstv.senderservices.net/c/eJyEz0GOrSAQheHVwNAUhYIOGLyJ27gpivJdEpEboF1_x2H3pBdw_pMvBdqckNUSjLfrhgad0VIon6-cgkJcHRhQiPodMMocnbdrckDLEaNEAp-MsX5hZK9zQMAFEDxsswEzMSUbPbtDyFo5opqhSMo0aj37uKcuV5LWpd2ZpU-XDH2G9xifruw_hbvC_dOk91ZrmX4suRaFu27h_OImnOl3mmvRTz5f_1-pFsrXo_nj_XHeAb8DAAD__xC3Wx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1836</Words>
  <Characters>10468</Characters>
  <Application>Microsoft Office Word</Application>
  <DocSecurity>0</DocSecurity>
  <Lines>87</Lines>
  <Paragraphs>24</Paragraphs>
  <ScaleCrop>false</ScaleCrop>
  <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1</cp:revision>
  <dcterms:created xsi:type="dcterms:W3CDTF">2025-02-07T09:44:00Z</dcterms:created>
  <dcterms:modified xsi:type="dcterms:W3CDTF">2025-02-07T09:49:00Z</dcterms:modified>
</cp:coreProperties>
</file>