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BCCEB8" w14:textId="61FCC407" w:rsidR="00B37FEC" w:rsidRPr="00FD3879" w:rsidRDefault="00B37FEC">
      <w:pPr>
        <w:rPr>
          <w:rFonts w:ascii="Century Gothic" w:hAnsi="Century Gothic"/>
        </w:rPr>
      </w:pPr>
      <w:r w:rsidRPr="00FD3879">
        <w:rPr>
          <w:rFonts w:ascii="Century Gothic" w:hAnsi="Century Gothic"/>
        </w:rPr>
        <w:t>Countdown to the Salon Gourmets 2025</w:t>
      </w:r>
    </w:p>
    <w:p w14:paraId="48BDA488" w14:textId="7E302EC5" w:rsidR="00B37FEC" w:rsidRPr="00FD3879" w:rsidRDefault="00B37FEC">
      <w:pPr>
        <w:rPr>
          <w:rFonts w:ascii="Century Gothic" w:hAnsi="Century Gothic"/>
        </w:rPr>
      </w:pPr>
      <w:r w:rsidRPr="00FD3879">
        <w:rPr>
          <w:rFonts w:ascii="Century Gothic" w:hAnsi="Century Gothic"/>
        </w:rPr>
        <w:t>The countdown to the 38th edition of Salón Gourmets, Europe’s largest showcase of high-quality products, has begun. As the new year starts, anticipation builds for this premier event. Taking place from April 7 to 10, 2025, at Ifema Madrid.</w:t>
      </w:r>
    </w:p>
    <w:p w14:paraId="180F8449" w14:textId="77777777" w:rsidR="00B37FEC" w:rsidRPr="00B37FEC" w:rsidRDefault="00B37FEC" w:rsidP="00B37FEC">
      <w:pPr>
        <w:rPr>
          <w:rFonts w:ascii="Century Gothic" w:hAnsi="Century Gothic"/>
        </w:rPr>
      </w:pPr>
      <w:r w:rsidRPr="00B37FEC">
        <w:rPr>
          <w:rFonts w:ascii="Century Gothic" w:hAnsi="Century Gothic"/>
        </w:rPr>
        <w:t xml:space="preserve">All of Spain’s seventeen Autonomous Communities to attend the 38th Salón Gourmets by </w:t>
      </w:r>
      <w:hyperlink r:id="rId4" w:tgtFrame="_blank" w:history="1">
        <w:r w:rsidRPr="00B37FEC">
          <w:rPr>
            <w:rStyle w:val="Hyperlink"/>
            <w:rFonts w:ascii="Century Gothic" w:hAnsi="Century Gothic"/>
          </w:rPr>
          <w:t>Grupo Gourmets</w:t>
        </w:r>
      </w:hyperlink>
      <w:r w:rsidRPr="00B37FEC">
        <w:rPr>
          <w:rFonts w:ascii="Century Gothic" w:hAnsi="Century Gothic"/>
        </w:rPr>
        <w:t>, supporting over 1,300 companies.</w:t>
      </w:r>
    </w:p>
    <w:p w14:paraId="2652B2F9" w14:textId="77777777" w:rsidR="00B37FEC" w:rsidRPr="00B37FEC" w:rsidRDefault="00B37FEC" w:rsidP="00B37FEC">
      <w:pPr>
        <w:rPr>
          <w:rFonts w:ascii="Century Gothic" w:hAnsi="Century Gothic"/>
        </w:rPr>
      </w:pPr>
      <w:r w:rsidRPr="00B37FEC">
        <w:rPr>
          <w:rFonts w:ascii="Century Gothic" w:hAnsi="Century Gothic"/>
        </w:rPr>
        <w:t xml:space="preserve">The countdown to the </w:t>
      </w:r>
      <w:hyperlink r:id="rId5" w:tgtFrame="_blank" w:history="1">
        <w:r w:rsidRPr="00B37FEC">
          <w:rPr>
            <w:rStyle w:val="Hyperlink"/>
            <w:rFonts w:ascii="Century Gothic" w:hAnsi="Century Gothic"/>
          </w:rPr>
          <w:t>38th edition of Salón Gourmets,</w:t>
        </w:r>
      </w:hyperlink>
      <w:r w:rsidRPr="00B37FEC">
        <w:rPr>
          <w:rFonts w:ascii="Century Gothic" w:hAnsi="Century Gothic"/>
        </w:rPr>
        <w:t xml:space="preserve"> Europe’s largest showcase of high-quality products, has begun. As the new year starts, anticipation builds for this premier event. Taking place from April 7 to 10, 2025, at Ifema Madrid, the 38th edition of Europe’s most exclusive Quality Food and Beverage Fair will bring together the world’s top agri-food products in the Spanish capital. For the first time, the fair will expand across six pavilions—3, 4, 5, 6, 7, and 8—covering nearly 90,000 m² filled with innovations, trends, and activities centered on one protagonist: quality products.</w:t>
      </w:r>
    </w:p>
    <w:p w14:paraId="4DA8B4C0" w14:textId="77777777" w:rsidR="00B37FEC" w:rsidRPr="00B37FEC" w:rsidRDefault="00B37FEC" w:rsidP="00B37FEC">
      <w:pPr>
        <w:rPr>
          <w:rFonts w:ascii="Century Gothic" w:hAnsi="Century Gothic"/>
        </w:rPr>
      </w:pPr>
      <w:r w:rsidRPr="00B37FEC">
        <w:rPr>
          <w:rFonts w:ascii="Century Gothic" w:hAnsi="Century Gothic"/>
        </w:rPr>
        <w:t>Six pavilions, over 2,000 exhibitors, 50,000 products, and 100,000 visitors, #</w:t>
      </w:r>
      <w:hyperlink r:id="rId6" w:tgtFrame="_blank" w:history="1">
        <w:r w:rsidRPr="00B37FEC">
          <w:rPr>
            <w:rStyle w:val="Hyperlink"/>
            <w:rFonts w:ascii="Century Gothic" w:hAnsi="Century Gothic"/>
          </w:rPr>
          <w:t>SG25</w:t>
        </w:r>
      </w:hyperlink>
      <w:r w:rsidRPr="00B37FEC">
        <w:rPr>
          <w:rFonts w:ascii="Century Gothic" w:hAnsi="Century Gothic"/>
        </w:rPr>
        <w:t xml:space="preserve"> will surpass its 2023 record, confirming Madrid as the European epicenter of quality products from April 7 to 10, 2025, at Ifema Madrid.</w:t>
      </w:r>
    </w:p>
    <w:p w14:paraId="1D9592C7" w14:textId="77777777" w:rsidR="00B37FEC" w:rsidRPr="00B37FEC" w:rsidRDefault="00B37FEC" w:rsidP="00B37FEC">
      <w:pPr>
        <w:rPr>
          <w:rFonts w:ascii="Century Gothic" w:hAnsi="Century Gothic"/>
        </w:rPr>
      </w:pPr>
      <w:r w:rsidRPr="00B37FEC">
        <w:rPr>
          <w:rFonts w:ascii="Century Gothic" w:hAnsi="Century Gothic"/>
        </w:rPr>
        <w:t xml:space="preserve">With over 2,000 exhibitors, Salón Gourmets (SG) will offer a journey through Spain and up to 30 countries via their delicatessen products, all without leaving Madrid. The event will feature at least ten stages—including exclusive ones for the Community of Madrid and </w:t>
      </w:r>
      <w:hyperlink r:id="rId7" w:tgtFrame="_blank" w:history="1">
        <w:r w:rsidRPr="00B37FEC">
          <w:rPr>
            <w:rStyle w:val="Hyperlink"/>
            <w:rFonts w:ascii="Century Gothic" w:hAnsi="Century Gothic"/>
          </w:rPr>
          <w:t>Andalusia</w:t>
        </w:r>
      </w:hyperlink>
      <w:r w:rsidRPr="00B37FEC">
        <w:rPr>
          <w:rFonts w:ascii="Century Gothic" w:hAnsi="Century Gothic"/>
        </w:rPr>
        <w:t>—spanning over 8,000 m², where exhibitors can demonstrate their products’ versatility through show cooking, tastings, championships, and conferences. New activities led by companies like Bergara Foundation, Xunta de Galicia, Turkish Airlines, Norway Day, and Navarra Day – Reyno Gourmet will also debut.</w:t>
      </w:r>
    </w:p>
    <w:p w14:paraId="0E2C93F8" w14:textId="77777777" w:rsidR="00B37FEC" w:rsidRPr="00B37FEC" w:rsidRDefault="00B37FEC" w:rsidP="00B37FEC">
      <w:pPr>
        <w:rPr>
          <w:rFonts w:ascii="Century Gothic" w:hAnsi="Century Gothic"/>
        </w:rPr>
      </w:pPr>
      <w:r w:rsidRPr="00B37FEC">
        <w:rPr>
          <w:rFonts w:ascii="Century Gothic" w:hAnsi="Century Gothic"/>
        </w:rPr>
        <w:t>All 17 of Spain’s Autonomous Communities will attend, supporting over 1,300 companies and hundreds of small producers who use the fair to highlight the agricultural and wine production from every region. Traditional and innovative flavors alike will be on display, with Provincial Councils and Town Halls also participating to promote their local producers. The gourmet food fair will host over 100,000 professional visitors, including more than 15,000 international buyers from over 100 countries, based on last years attendance.</w:t>
      </w:r>
    </w:p>
    <w:p w14:paraId="2C2F7F50" w14:textId="77777777" w:rsidR="00B37FEC" w:rsidRPr="00B37FEC" w:rsidRDefault="00B37FEC" w:rsidP="00B37FEC">
      <w:pPr>
        <w:rPr>
          <w:rFonts w:ascii="Century Gothic" w:hAnsi="Century Gothic"/>
        </w:rPr>
      </w:pPr>
      <w:r w:rsidRPr="00B37FEC">
        <w:rPr>
          <w:rFonts w:ascii="Century Gothic" w:hAnsi="Century Gothic"/>
        </w:rPr>
        <w:t xml:space="preserve">The quality of most products is internationally endorsed by EU-recognized seals: </w:t>
      </w:r>
      <w:r w:rsidRPr="00B37FEC">
        <w:rPr>
          <w:rFonts w:ascii="Century Gothic" w:hAnsi="Century Gothic"/>
          <w:i/>
          <w:iCs/>
        </w:rPr>
        <w:t>Protected Designation of Origin (PDO)</w:t>
      </w:r>
      <w:r w:rsidRPr="00B37FEC">
        <w:rPr>
          <w:rFonts w:ascii="Century Gothic" w:hAnsi="Century Gothic"/>
        </w:rPr>
        <w:t xml:space="preserve"> and </w:t>
      </w:r>
      <w:r w:rsidRPr="00B37FEC">
        <w:rPr>
          <w:rFonts w:ascii="Century Gothic" w:hAnsi="Century Gothic"/>
          <w:i/>
          <w:iCs/>
        </w:rPr>
        <w:t>Protected Geographical Indication (PGI)</w:t>
      </w:r>
      <w:r w:rsidRPr="00B37FEC">
        <w:rPr>
          <w:rFonts w:ascii="Century Gothic" w:hAnsi="Century Gothic"/>
        </w:rPr>
        <w:t xml:space="preserve">. PDOs are for products entirely made in a specific area, while PGIs require at least one production stage to occur there, both following </w:t>
      </w:r>
      <w:r w:rsidRPr="00B37FEC">
        <w:rPr>
          <w:rFonts w:ascii="Century Gothic" w:hAnsi="Century Gothic"/>
        </w:rPr>
        <w:lastRenderedPageBreak/>
        <w:t>strict standards. Exhibitors will showcase products bearing Spain’s 212 PDOs and 145 PGIs, from the oldest—Rioja (1925), later upgraded to Qualified PDO in 1991, shared only with Priorat—to the newest, like Chistorra de Navarra and Torrezno de Soria, recognized last year.</w:t>
      </w:r>
    </w:p>
    <w:p w14:paraId="3533F602" w14:textId="77777777" w:rsidR="00B37FEC" w:rsidRPr="00B37FEC" w:rsidRDefault="00B37FEC" w:rsidP="00B37FEC">
      <w:pPr>
        <w:rPr>
          <w:rFonts w:ascii="Century Gothic" w:hAnsi="Century Gothic"/>
        </w:rPr>
      </w:pPr>
      <w:r w:rsidRPr="00B37FEC">
        <w:rPr>
          <w:rFonts w:ascii="Century Gothic" w:hAnsi="Century Gothic"/>
        </w:rPr>
        <w:t>Activities take center stage at SG, with over 1,200 events filling the stands and stages across the pavilions. Iconic competitions include the 31st Ham Cutting Contest / Dehesa de Extremadura and the 15th GourmetQuesos, Spain’s Best Cheeses Championship, supported by ICEX. New contests include the Merluza do Pincho Challenge by Xunta de Galicia, the Atlantic Cuisine Contest by Xunta de Galicia, the Wild Game Flavors Championship by Bergara Foundation, and the Gazpachuelos Championship by Sabor a Málaga. Classics like the 30th Spanish Sommelier Championship Tierra de Sabor and the 17th Oyster Opening Championship / Sorlut / Grupo Gourmets return, alongside Estrella Galicia’s 16th Beer Pouring Championship and XChef Challenges by Cervezas 1906.</w:t>
      </w:r>
    </w:p>
    <w:p w14:paraId="25716B51" w14:textId="77777777" w:rsidR="00B37FEC" w:rsidRPr="00B37FEC" w:rsidRDefault="00B37FEC" w:rsidP="00B37FEC">
      <w:pPr>
        <w:rPr>
          <w:rFonts w:ascii="Century Gothic" w:hAnsi="Century Gothic"/>
        </w:rPr>
      </w:pPr>
      <w:r w:rsidRPr="00B37FEC">
        <w:rPr>
          <w:rFonts w:ascii="Century Gothic" w:hAnsi="Century Gothic"/>
        </w:rPr>
        <w:t> Other notable contests include the 8th National “Best Cachopo with Asturian Beef IGP” Contest, the 5th National Carving Art Championship El Encinar de Humienta / Grupo Gourmets, the 5th Burger Combat Gourmet Burger Championship / Lantmännen, and the 4th Gourmet Pizza Championship. High-end miniature cuisine will shine in the 3rd Master Pinchos Gourmets #productoriojano and the 2nd Best Iberian Montado by Arturo Sánchez and Berkel. For the second year, “Enjoy It’s From Europe” / A Slice of Quality will bring premium Italian charcuterie to visitors.</w:t>
      </w:r>
    </w:p>
    <w:p w14:paraId="0B2ECBEF" w14:textId="77777777" w:rsidR="00B37FEC" w:rsidRPr="00FD3879" w:rsidRDefault="00B37FEC" w:rsidP="00B37FEC">
      <w:pPr>
        <w:rPr>
          <w:rFonts w:ascii="Century Gothic" w:hAnsi="Century Gothic"/>
        </w:rPr>
      </w:pPr>
      <w:r w:rsidRPr="00B37FEC">
        <w:rPr>
          <w:rFonts w:ascii="Century Gothic" w:hAnsi="Century Gothic"/>
        </w:rPr>
        <w:t>The 3rd Master Pinchos Gourmets #productoriojano, organized with the Government of La Rioja, will celebrate tapas culture. Eight participants will create dishes using at least one ingredient from La Rioja’s PDOs or PGIs, such as PDO Pears of Rincón de Soto or PGI Riojan Chorizo, and certified products like La Rioja Vegetables. </w:t>
      </w:r>
    </w:p>
    <w:p w14:paraId="437196E3" w14:textId="77777777" w:rsidR="00B37FEC" w:rsidRPr="00B37FEC" w:rsidRDefault="00B37FEC" w:rsidP="00B37FEC">
      <w:pPr>
        <w:rPr>
          <w:rFonts w:ascii="Century Gothic" w:hAnsi="Century Gothic"/>
        </w:rPr>
      </w:pPr>
      <w:hyperlink r:id="rId8" w:tgtFrame="_blank" w:history="1">
        <w:r w:rsidRPr="00B37FEC">
          <w:rPr>
            <w:rStyle w:val="Hyperlink"/>
            <w:rFonts w:ascii="Century Gothic" w:hAnsi="Century Gothic"/>
          </w:rPr>
          <w:t>Salón Gourmets</w:t>
        </w:r>
      </w:hyperlink>
      <w:r w:rsidRPr="00B37FEC">
        <w:rPr>
          <w:rFonts w:ascii="Century Gothic" w:hAnsi="Century Gothic"/>
        </w:rPr>
        <w:t xml:space="preserve"> is the renowned quality food and beverage professional fair, which has been running for 36 consecutive years and growing in numbers. It is the most visited by national and international professionals in the gastronomic sector, such as restaurants, hotels, distributors, catering, and specialized wholesalers and retailers. It is truly a global event that celebrates the best of the gastronomic world.</w:t>
      </w:r>
    </w:p>
    <w:p w14:paraId="77B65435" w14:textId="77777777" w:rsidR="00B37FEC" w:rsidRPr="00B37FEC" w:rsidRDefault="00B37FEC" w:rsidP="00B37FEC">
      <w:pPr>
        <w:rPr>
          <w:rFonts w:ascii="Century Gothic" w:hAnsi="Century Gothic"/>
        </w:rPr>
      </w:pPr>
      <w:r w:rsidRPr="00B37FEC">
        <w:rPr>
          <w:rFonts w:ascii="Century Gothic" w:hAnsi="Century Gothic"/>
          <w:b/>
          <w:bCs/>
        </w:rPr>
        <w:t xml:space="preserve">The </w:t>
      </w:r>
      <w:hyperlink r:id="rId9" w:tgtFrame="_blank" w:history="1">
        <w:r w:rsidRPr="00B37FEC">
          <w:rPr>
            <w:rStyle w:val="Hyperlink"/>
            <w:rFonts w:ascii="Century Gothic" w:hAnsi="Century Gothic"/>
            <w:b/>
            <w:bCs/>
          </w:rPr>
          <w:t>Salon de Gourmets</w:t>
        </w:r>
      </w:hyperlink>
      <w:r w:rsidRPr="00B37FEC">
        <w:rPr>
          <w:rFonts w:ascii="Century Gothic" w:hAnsi="Century Gothic"/>
          <w:b/>
          <w:bCs/>
        </w:rPr>
        <w:t>, #SG25 now in its 38th year is organized by the</w:t>
      </w:r>
      <w:hyperlink r:id="rId10" w:tgtFrame="_blank" w:history="1">
        <w:r w:rsidRPr="00B37FEC">
          <w:rPr>
            <w:rStyle w:val="Hyperlink"/>
            <w:rFonts w:ascii="Century Gothic" w:hAnsi="Century Gothic"/>
            <w:b/>
            <w:bCs/>
          </w:rPr>
          <w:t xml:space="preserve"> Grupo Gourmets</w:t>
        </w:r>
      </w:hyperlink>
      <w:r w:rsidRPr="00B37FEC">
        <w:rPr>
          <w:rFonts w:ascii="Century Gothic" w:hAnsi="Century Gothic"/>
          <w:b/>
          <w:bCs/>
        </w:rPr>
        <w:t>, a pioneer, and leader in the promotion of gourmet gastronomy in Spain and Europe. </w:t>
      </w:r>
    </w:p>
    <w:p w14:paraId="28C97BFA" w14:textId="77777777" w:rsidR="00B37FEC" w:rsidRPr="00FD3879" w:rsidRDefault="00B37FEC" w:rsidP="00B37FEC">
      <w:pPr>
        <w:rPr>
          <w:rFonts w:ascii="Century Gothic" w:hAnsi="Century Gothic"/>
          <w:b/>
          <w:bCs/>
        </w:rPr>
      </w:pPr>
      <w:r w:rsidRPr="00B37FEC">
        <w:rPr>
          <w:rFonts w:ascii="Century Gothic" w:hAnsi="Century Gothic"/>
          <w:b/>
          <w:bCs/>
        </w:rPr>
        <w:t xml:space="preserve">This information is free for editorial use and has been published with </w:t>
      </w:r>
      <w:hyperlink r:id="rId11" w:history="1">
        <w:r w:rsidRPr="00B37FEC">
          <w:rPr>
            <w:rStyle w:val="Hyperlink"/>
            <w:rFonts w:ascii="Century Gothic" w:hAnsi="Century Gothic"/>
            <w:b/>
            <w:bCs/>
          </w:rPr>
          <w:t>PressPage</w:t>
        </w:r>
      </w:hyperlink>
      <w:r w:rsidRPr="00B37FEC">
        <w:rPr>
          <w:rFonts w:ascii="Century Gothic" w:hAnsi="Century Gothic"/>
          <w:b/>
          <w:bCs/>
        </w:rPr>
        <w:t>, world leader in software for newsrooms and PR purposes.</w:t>
      </w:r>
    </w:p>
    <w:p w14:paraId="0FD9726A" w14:textId="5A257CA8" w:rsidR="00B37FEC" w:rsidRPr="00FD3879" w:rsidRDefault="00B37FEC" w:rsidP="00B37FEC">
      <w:pPr>
        <w:rPr>
          <w:rFonts w:ascii="Century Gothic" w:hAnsi="Century Gothic"/>
          <w:b/>
          <w:bCs/>
        </w:rPr>
      </w:pPr>
      <w:r w:rsidRPr="00FD3879">
        <w:rPr>
          <w:rFonts w:ascii="Century Gothic" w:hAnsi="Century Gothic"/>
          <w:b/>
          <w:bCs/>
        </w:rPr>
        <w:t xml:space="preserve">© Fotos Grupo Gourmets </w:t>
      </w:r>
    </w:p>
    <w:p w14:paraId="14CE6755" w14:textId="60A44960" w:rsidR="00B37FEC" w:rsidRPr="00FD3879" w:rsidRDefault="00B37FEC" w:rsidP="00B37FEC">
      <w:pPr>
        <w:rPr>
          <w:rFonts w:ascii="Century Gothic" w:hAnsi="Century Gothic"/>
          <w:b/>
          <w:bCs/>
        </w:rPr>
      </w:pPr>
      <w:r w:rsidRPr="00FD3879">
        <w:rPr>
          <w:rFonts w:ascii="Century Gothic" w:hAnsi="Century Gothic"/>
          <w:b/>
          <w:bCs/>
        </w:rPr>
        <w:t xml:space="preserve">More information: </w:t>
      </w:r>
    </w:p>
    <w:tbl>
      <w:tblPr>
        <w:tblW w:w="5000" w:type="pct"/>
        <w:jc w:val="center"/>
        <w:tblCellMar>
          <w:left w:w="0" w:type="dxa"/>
          <w:right w:w="0" w:type="dxa"/>
        </w:tblCellMar>
        <w:tblLook w:val="04A0" w:firstRow="1" w:lastRow="0" w:firstColumn="1" w:lastColumn="0" w:noHBand="0" w:noVBand="1"/>
      </w:tblPr>
      <w:tblGrid>
        <w:gridCol w:w="5526"/>
        <w:gridCol w:w="3500"/>
      </w:tblGrid>
      <w:tr w:rsidR="00B37FEC" w:rsidRPr="00B37FEC" w14:paraId="3E87B4DD" w14:textId="77777777" w:rsidTr="00B37FEC">
        <w:trPr>
          <w:jc w:val="center"/>
        </w:trPr>
        <w:tc>
          <w:tcPr>
            <w:tcW w:w="3511" w:type="dxa"/>
            <w:tcBorders>
              <w:top w:val="nil"/>
              <w:left w:val="nil"/>
              <w:bottom w:val="nil"/>
              <w:right w:val="nil"/>
            </w:tcBorders>
            <w:shd w:val="clear" w:color="auto" w:fill="auto"/>
            <w:tcMar>
              <w:top w:w="0" w:type="dxa"/>
              <w:left w:w="0" w:type="dxa"/>
              <w:bottom w:w="300" w:type="dxa"/>
              <w:right w:w="0" w:type="dxa"/>
            </w:tcMar>
            <w:hideMark/>
          </w:tcPr>
          <w:tbl>
            <w:tblPr>
              <w:tblW w:w="5000" w:type="pct"/>
              <w:jc w:val="center"/>
              <w:tblCellMar>
                <w:left w:w="0" w:type="dxa"/>
                <w:right w:w="0" w:type="dxa"/>
              </w:tblCellMar>
              <w:tblLook w:val="04A0" w:firstRow="1" w:lastRow="0" w:firstColumn="1" w:lastColumn="0" w:noHBand="0" w:noVBand="1"/>
            </w:tblPr>
            <w:tblGrid>
              <w:gridCol w:w="5526"/>
            </w:tblGrid>
            <w:tr w:rsidR="00B37FEC" w:rsidRPr="00B37FEC" w14:paraId="09FFCCFE" w14:textId="77777777" w:rsidTr="00B37FEC">
              <w:trPr>
                <w:jc w:val="center"/>
              </w:trPr>
              <w:tc>
                <w:tcPr>
                  <w:tcW w:w="5000" w:type="pct"/>
                  <w:tcBorders>
                    <w:top w:val="nil"/>
                    <w:left w:val="nil"/>
                    <w:bottom w:val="nil"/>
                    <w:right w:val="nil"/>
                  </w:tcBorders>
                  <w:shd w:val="clear" w:color="auto" w:fill="auto"/>
                  <w:tcMar>
                    <w:top w:w="75" w:type="dxa"/>
                    <w:left w:w="225" w:type="dxa"/>
                    <w:bottom w:w="75" w:type="dxa"/>
                    <w:right w:w="225" w:type="dxa"/>
                  </w:tcMar>
                  <w:vAlign w:val="center"/>
                  <w:hideMark/>
                </w:tcPr>
                <w:p w14:paraId="153E16DD" w14:textId="77777777" w:rsidR="00B37FEC" w:rsidRPr="00B37FEC" w:rsidRDefault="00B37FEC" w:rsidP="00B37FEC">
                  <w:pPr>
                    <w:rPr>
                      <w:rFonts w:ascii="Century Gothic" w:hAnsi="Century Gothic"/>
                    </w:rPr>
                  </w:pPr>
                  <w:hyperlink r:id="rId12" w:tgtFrame="_blank" w:history="1">
                    <w:r w:rsidRPr="00B37FEC">
                      <w:rPr>
                        <w:rStyle w:val="Hyperlink"/>
                        <w:rFonts w:ascii="Century Gothic" w:hAnsi="Century Gothic"/>
                      </w:rPr>
                      <w:t>comunicacionsg@gourmets.net  </w:t>
                    </w:r>
                  </w:hyperlink>
                </w:p>
              </w:tc>
            </w:tr>
          </w:tbl>
          <w:p w14:paraId="3567E24C" w14:textId="77777777" w:rsidR="00B37FEC" w:rsidRPr="00B37FEC" w:rsidRDefault="00B37FEC" w:rsidP="00B37FEC">
            <w:pPr>
              <w:rPr>
                <w:rFonts w:ascii="Century Gothic" w:hAnsi="Century Gothic"/>
              </w:rPr>
            </w:pPr>
          </w:p>
        </w:tc>
        <w:tc>
          <w:tcPr>
            <w:tcW w:w="2719" w:type="dxa"/>
            <w:tcBorders>
              <w:top w:val="nil"/>
              <w:left w:val="nil"/>
              <w:bottom w:val="nil"/>
              <w:right w:val="nil"/>
            </w:tcBorders>
            <w:shd w:val="clear" w:color="auto" w:fill="auto"/>
            <w:tcMar>
              <w:top w:w="0" w:type="dxa"/>
              <w:left w:w="0" w:type="dxa"/>
              <w:bottom w:w="300" w:type="dxa"/>
              <w:right w:w="0" w:type="dxa"/>
            </w:tcMar>
            <w:hideMark/>
          </w:tcPr>
          <w:tbl>
            <w:tblPr>
              <w:tblW w:w="5000" w:type="pct"/>
              <w:jc w:val="center"/>
              <w:tblCellMar>
                <w:left w:w="0" w:type="dxa"/>
                <w:right w:w="0" w:type="dxa"/>
              </w:tblCellMar>
              <w:tblLook w:val="04A0" w:firstRow="1" w:lastRow="0" w:firstColumn="1" w:lastColumn="0" w:noHBand="0" w:noVBand="1"/>
            </w:tblPr>
            <w:tblGrid>
              <w:gridCol w:w="3500"/>
            </w:tblGrid>
            <w:tr w:rsidR="00B37FEC" w:rsidRPr="00B37FEC" w14:paraId="4A2E0AE8" w14:textId="77777777" w:rsidTr="00B37FEC">
              <w:trPr>
                <w:jc w:val="center"/>
              </w:trPr>
              <w:tc>
                <w:tcPr>
                  <w:tcW w:w="5000" w:type="pct"/>
                  <w:tcBorders>
                    <w:top w:val="nil"/>
                    <w:left w:val="nil"/>
                    <w:bottom w:val="nil"/>
                    <w:right w:val="nil"/>
                  </w:tcBorders>
                  <w:shd w:val="clear" w:color="auto" w:fill="auto"/>
                  <w:tcMar>
                    <w:top w:w="75" w:type="dxa"/>
                    <w:left w:w="225" w:type="dxa"/>
                    <w:bottom w:w="75" w:type="dxa"/>
                    <w:right w:w="225" w:type="dxa"/>
                  </w:tcMar>
                  <w:vAlign w:val="center"/>
                  <w:hideMark/>
                </w:tcPr>
                <w:p w14:paraId="6D615606" w14:textId="77777777" w:rsidR="00B37FEC" w:rsidRPr="00B37FEC" w:rsidRDefault="00B37FEC" w:rsidP="00B37FEC">
                  <w:pPr>
                    <w:rPr>
                      <w:rFonts w:ascii="Century Gothic" w:hAnsi="Century Gothic"/>
                    </w:rPr>
                  </w:pPr>
                  <w:r w:rsidRPr="00B37FEC">
                    <w:rPr>
                      <w:rFonts w:ascii="Century Gothic" w:hAnsi="Century Gothic"/>
                    </w:rPr>
                    <w:t>Tel.: +34 915 489 651</w:t>
                  </w:r>
                </w:p>
              </w:tc>
            </w:tr>
          </w:tbl>
          <w:p w14:paraId="63654151" w14:textId="77777777" w:rsidR="00B37FEC" w:rsidRPr="00B37FEC" w:rsidRDefault="00B37FEC" w:rsidP="00B37FEC">
            <w:pPr>
              <w:rPr>
                <w:rFonts w:ascii="Century Gothic" w:hAnsi="Century Gothic"/>
              </w:rPr>
            </w:pPr>
          </w:p>
        </w:tc>
      </w:tr>
    </w:tbl>
    <w:p w14:paraId="3DBDCD6D" w14:textId="77777777" w:rsidR="00B37FEC" w:rsidRDefault="00B37FEC"/>
    <w:sectPr w:rsidR="00B37F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FEC"/>
    <w:rsid w:val="00373961"/>
    <w:rsid w:val="00B37FEC"/>
    <w:rsid w:val="00FD3879"/>
  </w:rsids>
  <m:mathPr>
    <m:mathFont m:val="Cambria Math"/>
    <m:brkBin m:val="before"/>
    <m:brkBinSub m:val="--"/>
    <m:smallFrac m:val="0"/>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decimalSymbol w:val=","/>
  <w:listSeparator w:val=","/>
  <w14:docId w14:val="47C640A2"/>
  <w15:chartTrackingRefBased/>
  <w15:docId w15:val="{9D501FA7-5103-FA44-82A4-F230F87FA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7F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7F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7F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7F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7F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7F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7F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7F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7F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F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7F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7F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7F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7F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7F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7F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7F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7FEC"/>
    <w:rPr>
      <w:rFonts w:eastAsiaTheme="majorEastAsia" w:cstheme="majorBidi"/>
      <w:color w:val="272727" w:themeColor="text1" w:themeTint="D8"/>
    </w:rPr>
  </w:style>
  <w:style w:type="paragraph" w:styleId="Title">
    <w:name w:val="Title"/>
    <w:basedOn w:val="Normal"/>
    <w:next w:val="Normal"/>
    <w:link w:val="TitleChar"/>
    <w:uiPriority w:val="10"/>
    <w:qFormat/>
    <w:rsid w:val="00B37F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7F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7F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7F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7FEC"/>
    <w:pPr>
      <w:spacing w:before="160"/>
      <w:jc w:val="center"/>
    </w:pPr>
    <w:rPr>
      <w:i/>
      <w:iCs/>
      <w:color w:val="404040" w:themeColor="text1" w:themeTint="BF"/>
    </w:rPr>
  </w:style>
  <w:style w:type="character" w:customStyle="1" w:styleId="QuoteChar">
    <w:name w:val="Quote Char"/>
    <w:basedOn w:val="DefaultParagraphFont"/>
    <w:link w:val="Quote"/>
    <w:uiPriority w:val="29"/>
    <w:rsid w:val="00B37FEC"/>
    <w:rPr>
      <w:i/>
      <w:iCs/>
      <w:color w:val="404040" w:themeColor="text1" w:themeTint="BF"/>
    </w:rPr>
  </w:style>
  <w:style w:type="paragraph" w:styleId="ListParagraph">
    <w:name w:val="List Paragraph"/>
    <w:basedOn w:val="Normal"/>
    <w:uiPriority w:val="34"/>
    <w:qFormat/>
    <w:rsid w:val="00B37FEC"/>
    <w:pPr>
      <w:ind w:left="720"/>
      <w:contextualSpacing/>
    </w:pPr>
  </w:style>
  <w:style w:type="character" w:styleId="IntenseEmphasis">
    <w:name w:val="Intense Emphasis"/>
    <w:basedOn w:val="DefaultParagraphFont"/>
    <w:uiPriority w:val="21"/>
    <w:qFormat/>
    <w:rsid w:val="00B37FEC"/>
    <w:rPr>
      <w:i/>
      <w:iCs/>
      <w:color w:val="0F4761" w:themeColor="accent1" w:themeShade="BF"/>
    </w:rPr>
  </w:style>
  <w:style w:type="paragraph" w:styleId="IntenseQuote">
    <w:name w:val="Intense Quote"/>
    <w:basedOn w:val="Normal"/>
    <w:next w:val="Normal"/>
    <w:link w:val="IntenseQuoteChar"/>
    <w:uiPriority w:val="30"/>
    <w:qFormat/>
    <w:rsid w:val="00B37F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7FEC"/>
    <w:rPr>
      <w:i/>
      <w:iCs/>
      <w:color w:val="0F4761" w:themeColor="accent1" w:themeShade="BF"/>
    </w:rPr>
  </w:style>
  <w:style w:type="character" w:styleId="IntenseReference">
    <w:name w:val="Intense Reference"/>
    <w:basedOn w:val="DefaultParagraphFont"/>
    <w:uiPriority w:val="32"/>
    <w:qFormat/>
    <w:rsid w:val="00B37FEC"/>
    <w:rPr>
      <w:b/>
      <w:bCs/>
      <w:smallCaps/>
      <w:color w:val="0F4761" w:themeColor="accent1" w:themeShade="BF"/>
      <w:spacing w:val="5"/>
    </w:rPr>
  </w:style>
  <w:style w:type="character" w:styleId="Hyperlink">
    <w:name w:val="Hyperlink"/>
    <w:basedOn w:val="DefaultParagraphFont"/>
    <w:uiPriority w:val="99"/>
    <w:unhideWhenUsed/>
    <w:rsid w:val="00B37FEC"/>
    <w:rPr>
      <w:color w:val="467886" w:themeColor="hyperlink"/>
      <w:u w:val="single"/>
    </w:rPr>
  </w:style>
  <w:style w:type="character" w:styleId="UnresolvedMention">
    <w:name w:val="Unresolved Mention"/>
    <w:basedOn w:val="DefaultParagraphFont"/>
    <w:uiPriority w:val="99"/>
    <w:semiHidden/>
    <w:unhideWhenUsed/>
    <w:rsid w:val="00B37F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628328">
      <w:bodyDiv w:val="1"/>
      <w:marLeft w:val="0"/>
      <w:marRight w:val="0"/>
      <w:marTop w:val="0"/>
      <w:marBottom w:val="0"/>
      <w:divBdr>
        <w:top w:val="none" w:sz="0" w:space="0" w:color="auto"/>
        <w:left w:val="none" w:sz="0" w:space="0" w:color="auto"/>
        <w:bottom w:val="none" w:sz="0" w:space="0" w:color="auto"/>
        <w:right w:val="none" w:sz="0" w:space="0" w:color="auto"/>
      </w:divBdr>
    </w:div>
    <w:div w:id="518200367">
      <w:bodyDiv w:val="1"/>
      <w:marLeft w:val="0"/>
      <w:marRight w:val="0"/>
      <w:marTop w:val="0"/>
      <w:marBottom w:val="0"/>
      <w:divBdr>
        <w:top w:val="none" w:sz="0" w:space="0" w:color="auto"/>
        <w:left w:val="none" w:sz="0" w:space="0" w:color="auto"/>
        <w:bottom w:val="none" w:sz="0" w:space="0" w:color="auto"/>
        <w:right w:val="none" w:sz="0" w:space="0" w:color="auto"/>
      </w:divBdr>
    </w:div>
    <w:div w:id="607783535">
      <w:bodyDiv w:val="1"/>
      <w:marLeft w:val="0"/>
      <w:marRight w:val="0"/>
      <w:marTop w:val="0"/>
      <w:marBottom w:val="0"/>
      <w:divBdr>
        <w:top w:val="none" w:sz="0" w:space="0" w:color="auto"/>
        <w:left w:val="none" w:sz="0" w:space="0" w:color="auto"/>
        <w:bottom w:val="none" w:sz="0" w:space="0" w:color="auto"/>
        <w:right w:val="none" w:sz="0" w:space="0" w:color="auto"/>
      </w:divBdr>
    </w:div>
    <w:div w:id="815688654">
      <w:bodyDiv w:val="1"/>
      <w:marLeft w:val="0"/>
      <w:marRight w:val="0"/>
      <w:marTop w:val="0"/>
      <w:marBottom w:val="0"/>
      <w:divBdr>
        <w:top w:val="none" w:sz="0" w:space="0" w:color="auto"/>
        <w:left w:val="none" w:sz="0" w:space="0" w:color="auto"/>
        <w:bottom w:val="none" w:sz="0" w:space="0" w:color="auto"/>
        <w:right w:val="none" w:sz="0" w:space="0" w:color="auto"/>
      </w:divBdr>
    </w:div>
    <w:div w:id="1096635157">
      <w:bodyDiv w:val="1"/>
      <w:marLeft w:val="0"/>
      <w:marRight w:val="0"/>
      <w:marTop w:val="0"/>
      <w:marBottom w:val="0"/>
      <w:divBdr>
        <w:top w:val="none" w:sz="0" w:space="0" w:color="auto"/>
        <w:left w:val="none" w:sz="0" w:space="0" w:color="auto"/>
        <w:bottom w:val="none" w:sz="0" w:space="0" w:color="auto"/>
        <w:right w:val="none" w:sz="0" w:space="0" w:color="auto"/>
      </w:divBdr>
      <w:divsChild>
        <w:div w:id="358707368">
          <w:marLeft w:val="0"/>
          <w:marRight w:val="0"/>
          <w:marTop w:val="0"/>
          <w:marBottom w:val="0"/>
          <w:divBdr>
            <w:top w:val="none" w:sz="0" w:space="0" w:color="auto"/>
            <w:left w:val="none" w:sz="0" w:space="0" w:color="auto"/>
            <w:bottom w:val="none" w:sz="0" w:space="0" w:color="auto"/>
            <w:right w:val="none" w:sz="0" w:space="0" w:color="auto"/>
          </w:divBdr>
          <w:divsChild>
            <w:div w:id="931935795">
              <w:marLeft w:val="0"/>
              <w:marRight w:val="0"/>
              <w:marTop w:val="0"/>
              <w:marBottom w:val="0"/>
              <w:divBdr>
                <w:top w:val="none" w:sz="0" w:space="0" w:color="auto"/>
                <w:left w:val="none" w:sz="0" w:space="0" w:color="auto"/>
                <w:bottom w:val="none" w:sz="0" w:space="0" w:color="auto"/>
                <w:right w:val="none" w:sz="0" w:space="0" w:color="auto"/>
              </w:divBdr>
            </w:div>
          </w:divsChild>
        </w:div>
        <w:div w:id="1016225997">
          <w:marLeft w:val="0"/>
          <w:marRight w:val="0"/>
          <w:marTop w:val="0"/>
          <w:marBottom w:val="0"/>
          <w:divBdr>
            <w:top w:val="none" w:sz="0" w:space="0" w:color="auto"/>
            <w:left w:val="none" w:sz="0" w:space="0" w:color="auto"/>
            <w:bottom w:val="none" w:sz="0" w:space="0" w:color="auto"/>
            <w:right w:val="none" w:sz="0" w:space="0" w:color="auto"/>
          </w:divBdr>
          <w:divsChild>
            <w:div w:id="35592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17488">
      <w:bodyDiv w:val="1"/>
      <w:marLeft w:val="0"/>
      <w:marRight w:val="0"/>
      <w:marTop w:val="0"/>
      <w:marBottom w:val="0"/>
      <w:divBdr>
        <w:top w:val="none" w:sz="0" w:space="0" w:color="auto"/>
        <w:left w:val="none" w:sz="0" w:space="0" w:color="auto"/>
        <w:bottom w:val="none" w:sz="0" w:space="0" w:color="auto"/>
        <w:right w:val="none" w:sz="0" w:space="0" w:color="auto"/>
      </w:divBdr>
    </w:div>
    <w:div w:id="1507401404">
      <w:bodyDiv w:val="1"/>
      <w:marLeft w:val="0"/>
      <w:marRight w:val="0"/>
      <w:marTop w:val="0"/>
      <w:marBottom w:val="0"/>
      <w:divBdr>
        <w:top w:val="none" w:sz="0" w:space="0" w:color="auto"/>
        <w:left w:val="none" w:sz="0" w:space="0" w:color="auto"/>
        <w:bottom w:val="none" w:sz="0" w:space="0" w:color="auto"/>
        <w:right w:val="none" w:sz="0" w:space="0" w:color="auto"/>
      </w:divBdr>
    </w:div>
    <w:div w:id="1584336710">
      <w:bodyDiv w:val="1"/>
      <w:marLeft w:val="0"/>
      <w:marRight w:val="0"/>
      <w:marTop w:val="0"/>
      <w:marBottom w:val="0"/>
      <w:divBdr>
        <w:top w:val="none" w:sz="0" w:space="0" w:color="auto"/>
        <w:left w:val="none" w:sz="0" w:space="0" w:color="auto"/>
        <w:bottom w:val="none" w:sz="0" w:space="0" w:color="auto"/>
        <w:right w:val="none" w:sz="0" w:space="0" w:color="auto"/>
      </w:divBdr>
    </w:div>
    <w:div w:id="2024698769">
      <w:bodyDiv w:val="1"/>
      <w:marLeft w:val="0"/>
      <w:marRight w:val="0"/>
      <w:marTop w:val="0"/>
      <w:marBottom w:val="0"/>
      <w:divBdr>
        <w:top w:val="none" w:sz="0" w:space="0" w:color="auto"/>
        <w:left w:val="none" w:sz="0" w:space="0" w:color="auto"/>
        <w:bottom w:val="none" w:sz="0" w:space="0" w:color="auto"/>
        <w:right w:val="none" w:sz="0" w:space="0" w:color="auto"/>
      </w:divBdr>
      <w:divsChild>
        <w:div w:id="1350519970">
          <w:marLeft w:val="0"/>
          <w:marRight w:val="0"/>
          <w:marTop w:val="0"/>
          <w:marBottom w:val="0"/>
          <w:divBdr>
            <w:top w:val="none" w:sz="0" w:space="0" w:color="auto"/>
            <w:left w:val="none" w:sz="0" w:space="0" w:color="auto"/>
            <w:bottom w:val="none" w:sz="0" w:space="0" w:color="auto"/>
            <w:right w:val="none" w:sz="0" w:space="0" w:color="auto"/>
          </w:divBdr>
          <w:divsChild>
            <w:div w:id="206458808">
              <w:marLeft w:val="0"/>
              <w:marRight w:val="0"/>
              <w:marTop w:val="0"/>
              <w:marBottom w:val="0"/>
              <w:divBdr>
                <w:top w:val="none" w:sz="0" w:space="0" w:color="auto"/>
                <w:left w:val="none" w:sz="0" w:space="0" w:color="auto"/>
                <w:bottom w:val="none" w:sz="0" w:space="0" w:color="auto"/>
                <w:right w:val="none" w:sz="0" w:space="0" w:color="auto"/>
              </w:divBdr>
            </w:div>
          </w:divsChild>
        </w:div>
        <w:div w:id="1422096849">
          <w:marLeft w:val="0"/>
          <w:marRight w:val="0"/>
          <w:marTop w:val="0"/>
          <w:marBottom w:val="0"/>
          <w:divBdr>
            <w:top w:val="none" w:sz="0" w:space="0" w:color="auto"/>
            <w:left w:val="none" w:sz="0" w:space="0" w:color="auto"/>
            <w:bottom w:val="none" w:sz="0" w:space="0" w:color="auto"/>
            <w:right w:val="none" w:sz="0" w:space="0" w:color="auto"/>
          </w:divBdr>
          <w:divsChild>
            <w:div w:id="214423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07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urmets.net/salon-gourmets/sala-de-prensa"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ourmets.net/salon-gourmets/2025/catalogo-expositores/grupo-gourmets/escenario-andalucia-gusto-del-sur?utm_source=teenvio&amp;utm_medium=emailmarketing&amp;utm_content=enlace-2&amp;utm_campaign=envio-8018-sg_andalucia" TargetMode="External"/><Relationship Id="rId12" Type="http://schemas.openxmlformats.org/officeDocument/2006/relationships/hyperlink" Target="https://solcom.app.teenvio.com/v4/public/estadisticas/link/solcom/8018/9/634253/69967f419cbfd828486c237a6f47e3f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urmets.net/salon-gourmets" TargetMode="External"/><Relationship Id="rId11" Type="http://schemas.openxmlformats.org/officeDocument/2006/relationships/hyperlink" Target="https://www.presspage.com/" TargetMode="External"/><Relationship Id="rId5" Type="http://schemas.openxmlformats.org/officeDocument/2006/relationships/hyperlink" Target="https://www.gourmets.net/salon-gourmets" TargetMode="External"/><Relationship Id="rId10" Type="http://schemas.openxmlformats.org/officeDocument/2006/relationships/hyperlink" Target="https://www.gourmets.net/grupogourmets" TargetMode="External"/><Relationship Id="rId4" Type="http://schemas.openxmlformats.org/officeDocument/2006/relationships/hyperlink" Target="https://www.gourmets.net/index.php" TargetMode="External"/><Relationship Id="rId9" Type="http://schemas.openxmlformats.org/officeDocument/2006/relationships/hyperlink" Target="https://www.gourmets.net/salon-gourmets/sala-de-prens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929</Words>
  <Characters>5300</Characters>
  <Application>Microsoft Office Word</Application>
  <DocSecurity>0</DocSecurity>
  <Lines>44</Lines>
  <Paragraphs>12</Paragraphs>
  <ScaleCrop>false</ScaleCrop>
  <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Aldao</dc:creator>
  <cp:keywords/>
  <dc:description/>
  <cp:lastModifiedBy>Lu Aldao</cp:lastModifiedBy>
  <cp:revision>2</cp:revision>
  <dcterms:created xsi:type="dcterms:W3CDTF">2025-02-11T17:45:00Z</dcterms:created>
  <dcterms:modified xsi:type="dcterms:W3CDTF">2025-02-11T17:50:00Z</dcterms:modified>
</cp:coreProperties>
</file>