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8EA58" w14:textId="43135E6D" w:rsidR="00F01FF1" w:rsidRDefault="001E1F2E" w:rsidP="00F01FF1">
      <w:pPr>
        <w:rPr>
          <w:b/>
          <w:bCs/>
        </w:rPr>
      </w:pPr>
      <w:hyperlink r:id="rId4" w:history="1">
        <w:r w:rsidR="00F01FF1" w:rsidRPr="00F01FF1">
          <w:rPr>
            <w:rStyle w:val="Hyperlink"/>
            <w:b/>
            <w:bCs/>
          </w:rPr>
          <w:t>Banyan Software adquiere Presspage para impulsar innovación en software para comunicación y relaciones con inversores. </w:t>
        </w:r>
      </w:hyperlink>
    </w:p>
    <w:p w14:paraId="5F3BBEAA" w14:textId="24577BE2" w:rsidR="001E1F2E" w:rsidRPr="00F01FF1" w:rsidRDefault="001E1F2E" w:rsidP="00F01FF1">
      <w:r>
        <w:rPr>
          <w:b/>
          <w:bCs/>
        </w:rPr>
        <w:t>Madrid, 5 de agosto</w:t>
      </w:r>
    </w:p>
    <w:p w14:paraId="6E1308F5" w14:textId="77777777" w:rsidR="00F01FF1" w:rsidRPr="00F01FF1" w:rsidRDefault="00F01FF1" w:rsidP="00F01FF1">
      <w:r w:rsidRPr="00F01FF1">
        <w:t>La adquisición amplía la presencia de Banyan en Europa, garantiza la estabilidad a largo plazo de</w:t>
      </w:r>
      <w:r w:rsidRPr="00F01FF1">
        <w:rPr>
          <w:b/>
          <w:bCs/>
        </w:rPr>
        <w:t xml:space="preserve"> </w:t>
      </w:r>
      <w:hyperlink r:id="rId5" w:history="1">
        <w:r w:rsidRPr="00F01FF1">
          <w:rPr>
            <w:rStyle w:val="Hyperlink"/>
            <w:b/>
            <w:bCs/>
          </w:rPr>
          <w:t>Presspage</w:t>
        </w:r>
      </w:hyperlink>
      <w:r w:rsidRPr="00F01FF1">
        <w:t xml:space="preserve"> y acelera la innovación en tecnología de comunicación y relaciones con inversores, impulsada por inteligencia artificial.</w:t>
      </w:r>
    </w:p>
    <w:p w14:paraId="6B4B9AC8" w14:textId="77777777" w:rsidR="00F01FF1" w:rsidRPr="00F01FF1" w:rsidRDefault="00F01FF1" w:rsidP="00F01FF1">
      <w:hyperlink r:id="rId6" w:tgtFrame="_blank" w:history="1">
        <w:r w:rsidRPr="00F01FF1">
          <w:rPr>
            <w:rStyle w:val="Hyperlink"/>
            <w:b/>
            <w:bCs/>
          </w:rPr>
          <w:t>Banyan Software</w:t>
        </w:r>
      </w:hyperlink>
      <w:r w:rsidRPr="00F01FF1">
        <w:t xml:space="preserve"> anunció la adquisición de Presspage, la plataforma de salas de prensa y relaciones con los medios en la que confían </w:t>
      </w:r>
      <w:hyperlink r:id="rId7" w:tgtFrame="_blank" w:history="1">
        <w:r w:rsidRPr="00F01FF1">
          <w:rPr>
            <w:rStyle w:val="Hyperlink"/>
            <w:i/>
            <w:iCs/>
          </w:rPr>
          <w:t>empresas globales</w:t>
        </w:r>
      </w:hyperlink>
      <w:r w:rsidRPr="00F01FF1">
        <w:t xml:space="preserve"> como Lufthansa, Booking.com, Bayer, smart Automobile y DP World. Presspage da soporte a miles de usuarios en Norteamérica, Europa y Asia, y con el respaldo de Banyan, la empresa está preparada para ampliar aún más su presencia global.</w:t>
      </w:r>
    </w:p>
    <w:p w14:paraId="4E7DED8E" w14:textId="77777777" w:rsidR="00F01FF1" w:rsidRPr="00F01FF1" w:rsidRDefault="00F01FF1" w:rsidP="00F01FF1">
      <w:r w:rsidRPr="00F01FF1">
        <w:t>Presspage continuará operando desde su sede central en Ámsterdam con su actual equipo directivo, asegurando la continuidad tanto para sus clientes como para su personal. La adquisición encaja perfectamente con la visión a largo plazo de Banyan Software de ofrecer un “hogar permanente” para empresas de software, priorizando el crecimiento sostenido y la innovación.</w:t>
      </w:r>
    </w:p>
    <w:p w14:paraId="500F4703" w14:textId="77777777" w:rsidR="00F01FF1" w:rsidRDefault="00F01FF1" w:rsidP="00F01FF1">
      <w:r w:rsidRPr="00F01FF1">
        <w:t>El acuerdo fortalece la posición de Banyan en Europa, con un enfoque especial en la región del Benelux. Para Presspage, representa una nueva etapa impulsada por el historial comprobado de Banyan en escalar empresas de software empresarial y desarrollar herramientas avanzadas basadas en IA.</w:t>
      </w:r>
    </w:p>
    <w:tbl>
      <w:tblPr>
        <w:tblW w:w="9000" w:type="dxa"/>
        <w:jc w:val="center"/>
        <w:tblCellMar>
          <w:left w:w="0" w:type="dxa"/>
          <w:right w:w="0" w:type="dxa"/>
        </w:tblCellMar>
        <w:tblLook w:val="04A0" w:firstRow="1" w:lastRow="0" w:firstColumn="1" w:lastColumn="0" w:noHBand="0" w:noVBand="1"/>
      </w:tblPr>
      <w:tblGrid>
        <w:gridCol w:w="9000"/>
      </w:tblGrid>
      <w:tr w:rsidR="00F01FF1" w:rsidRPr="00F01FF1" w14:paraId="21AF51EE" w14:textId="77777777" w:rsidTr="00F01FF1">
        <w:trPr>
          <w:jc w:val="center"/>
        </w:trPr>
        <w:tc>
          <w:tcPr>
            <w:tcW w:w="0" w:type="auto"/>
            <w:tcMar>
              <w:top w:w="0" w:type="dxa"/>
              <w:left w:w="360" w:type="dxa"/>
              <w:bottom w:w="0" w:type="dxa"/>
              <w:right w:w="360" w:type="dxa"/>
            </w:tcMar>
            <w:hideMark/>
          </w:tcPr>
          <w:tbl>
            <w:tblPr>
              <w:tblW w:w="5000" w:type="pct"/>
              <w:tblCellMar>
                <w:left w:w="0" w:type="dxa"/>
                <w:right w:w="0" w:type="dxa"/>
              </w:tblCellMar>
              <w:tblLook w:val="04A0" w:firstRow="1" w:lastRow="0" w:firstColumn="1" w:lastColumn="0" w:noHBand="0" w:noVBand="1"/>
            </w:tblPr>
            <w:tblGrid>
              <w:gridCol w:w="8280"/>
            </w:tblGrid>
            <w:tr w:rsidR="00F01FF1" w:rsidRPr="00F01FF1" w14:paraId="3B8AB5CD" w14:textId="77777777">
              <w:tc>
                <w:tcPr>
                  <w:tcW w:w="0" w:type="auto"/>
                  <w:vAlign w:val="center"/>
                  <w:hideMark/>
                </w:tcPr>
                <w:p w14:paraId="4B2AA9F0" w14:textId="7571311F" w:rsidR="00F01FF1" w:rsidRPr="00F01FF1" w:rsidRDefault="00F01FF1" w:rsidP="00F01FF1">
                  <w:r w:rsidRPr="00F01FF1">
                    <w:rPr>
                      <w:b/>
                      <w:bCs/>
                    </w:rPr>
                    <w:t>Jan-Willem Schalkwijk, CEO de Presspage:</w:t>
                  </w:r>
                </w:p>
                <w:p w14:paraId="56750C4F" w14:textId="58274439" w:rsidR="00F01FF1" w:rsidRPr="00F01FF1" w:rsidRDefault="00F01FF1" w:rsidP="00F01FF1">
                  <w:r w:rsidRPr="00F01FF1">
                    <w:rPr>
                      <w:i/>
                      <w:iCs/>
                    </w:rPr>
                    <w:t>“Unirnos a Banyan abre nuevas puertas para acelerar nuestra hoja de ruta de innovación y ampliar nuestro impacto. Nuestros </w:t>
                  </w:r>
                  <w:hyperlink r:id="rId8" w:tgtFrame="_blank" w:history="1">
                    <w:r w:rsidRPr="00F01FF1">
                      <w:rPr>
                        <w:rStyle w:val="Hyperlink"/>
                        <w:i/>
                        <w:iCs/>
                      </w:rPr>
                      <w:t>clientes</w:t>
                    </w:r>
                  </w:hyperlink>
                  <w:r w:rsidRPr="00F01FF1">
                    <w:rPr>
                      <w:i/>
                      <w:iCs/>
                    </w:rPr>
                    <w:t> confían en nosotros para simplificar flujos de trabajo, optimizar la relación con los medios y medir el impacto tangible de sus iniciativas de relaciones públicas. Ahora podemos ampliar la capacidad de nuestra plataforma para vincular directamente las actividades de PR con resultados de negocio medibles.”</w:t>
                  </w:r>
                </w:p>
                <w:p w14:paraId="5BB14AAD" w14:textId="616BDB15" w:rsidR="00F01FF1" w:rsidRPr="00F01FF1" w:rsidRDefault="00F01FF1" w:rsidP="00F01FF1">
                  <w:r w:rsidRPr="00F01FF1">
                    <w:rPr>
                      <w:i/>
                      <w:iCs/>
                    </w:rPr>
                    <w:t>Esta </w:t>
                  </w:r>
                  <w:hyperlink r:id="rId9" w:tgtFrame="_blank" w:history="1">
                    <w:r w:rsidRPr="00F01FF1">
                      <w:rPr>
                        <w:rStyle w:val="Hyperlink"/>
                        <w:i/>
                        <w:iCs/>
                      </w:rPr>
                      <w:t>asociación</w:t>
                    </w:r>
                  </w:hyperlink>
                  <w:r w:rsidRPr="00F01FF1">
                    <w:rPr>
                      <w:i/>
                      <w:iCs/>
                    </w:rPr>
                    <w:t> fortalece la capacidad de Presspage para apoyar a los equipos de comunicación frente a desafíos complejos, proporcionando información clara que ayuda a los profesionales de PR a demostrar su valor estratégico. La plataforma sigue siendo un aliado de confianza tanto para la gestión diaria de medios como para la comunicación en situaciones de crisis de alto impacto.</w:t>
                  </w:r>
                </w:p>
              </w:tc>
            </w:tr>
          </w:tbl>
          <w:p w14:paraId="536D42FA" w14:textId="77777777" w:rsidR="00F01FF1" w:rsidRPr="00F01FF1" w:rsidRDefault="00F01FF1" w:rsidP="00F01FF1"/>
        </w:tc>
      </w:tr>
    </w:tbl>
    <w:p w14:paraId="5DE6DA85" w14:textId="77777777" w:rsidR="00F01FF1" w:rsidRPr="00F01FF1" w:rsidRDefault="00F01FF1" w:rsidP="00F01FF1">
      <w:pPr>
        <w:rPr>
          <w:vanish/>
        </w:rPr>
      </w:pPr>
    </w:p>
    <w:tbl>
      <w:tblPr>
        <w:tblW w:w="9000" w:type="dxa"/>
        <w:jc w:val="center"/>
        <w:tblCellMar>
          <w:left w:w="0" w:type="dxa"/>
          <w:right w:w="0" w:type="dxa"/>
        </w:tblCellMar>
        <w:tblLook w:val="04A0" w:firstRow="1" w:lastRow="0" w:firstColumn="1" w:lastColumn="0" w:noHBand="0" w:noVBand="1"/>
      </w:tblPr>
      <w:tblGrid>
        <w:gridCol w:w="9000"/>
      </w:tblGrid>
      <w:tr w:rsidR="00F01FF1" w:rsidRPr="00F01FF1" w14:paraId="31DC3A78" w14:textId="77777777" w:rsidTr="00F01FF1">
        <w:trPr>
          <w:jc w:val="center"/>
        </w:trPr>
        <w:tc>
          <w:tcPr>
            <w:tcW w:w="0" w:type="auto"/>
            <w:tcMar>
              <w:top w:w="0" w:type="dxa"/>
              <w:left w:w="360" w:type="dxa"/>
              <w:bottom w:w="0" w:type="dxa"/>
              <w:right w:w="360" w:type="dxa"/>
            </w:tcMar>
            <w:hideMark/>
          </w:tcPr>
          <w:tbl>
            <w:tblPr>
              <w:tblW w:w="5000" w:type="pct"/>
              <w:tblCellMar>
                <w:left w:w="0" w:type="dxa"/>
                <w:right w:w="0" w:type="dxa"/>
              </w:tblCellMar>
              <w:tblLook w:val="04A0" w:firstRow="1" w:lastRow="0" w:firstColumn="1" w:lastColumn="0" w:noHBand="0" w:noVBand="1"/>
            </w:tblPr>
            <w:tblGrid>
              <w:gridCol w:w="8280"/>
            </w:tblGrid>
            <w:tr w:rsidR="00F01FF1" w:rsidRPr="00F01FF1" w14:paraId="698ADB9F" w14:textId="77777777">
              <w:tc>
                <w:tcPr>
                  <w:tcW w:w="0" w:type="auto"/>
                  <w:vAlign w:val="center"/>
                  <w:hideMark/>
                </w:tcPr>
                <w:p w14:paraId="7C5A0FF5" w14:textId="77777777" w:rsidR="00F01FF1" w:rsidRDefault="00F01FF1" w:rsidP="00F01FF1">
                  <w:pPr>
                    <w:rPr>
                      <w:b/>
                      <w:bCs/>
                    </w:rPr>
                  </w:pPr>
                  <w:r w:rsidRPr="00F01FF1">
                    <w:rPr>
                      <w:b/>
                      <w:bCs/>
                    </w:rPr>
                    <w:t>Julie Koegenboeg, Directora de Europa del Norte en Banyan Software: </w:t>
                  </w:r>
                </w:p>
                <w:p w14:paraId="5E186941" w14:textId="4B8A777A" w:rsidR="00F01FF1" w:rsidRPr="00F01FF1" w:rsidRDefault="00F01FF1" w:rsidP="00F01FF1">
                  <w:r w:rsidRPr="00F01FF1">
                    <w:rPr>
                      <w:i/>
                      <w:iCs/>
                    </w:rPr>
                    <w:t xml:space="preserve">“Presspage es una gran incorporación a la creciente presencia de Banyan en Europa. Su oferta de producto especializada, su sólida base de clientes y su liderazgo probado los convierten en un referente dentro del software de </w:t>
                  </w:r>
                  <w:r w:rsidRPr="00F01FF1">
                    <w:rPr>
                      <w:i/>
                      <w:iCs/>
                    </w:rPr>
                    <w:lastRenderedPageBreak/>
                    <w:t>comunicación. Estamos encantados de apoyar al equipo de Presspage en esta nueva etapa de crecimiento.”</w:t>
                  </w:r>
                </w:p>
              </w:tc>
            </w:tr>
          </w:tbl>
          <w:p w14:paraId="0F184A04" w14:textId="77777777" w:rsidR="00F01FF1" w:rsidRPr="00F01FF1" w:rsidRDefault="00F01FF1" w:rsidP="00F01FF1"/>
        </w:tc>
      </w:tr>
    </w:tbl>
    <w:p w14:paraId="3D083090" w14:textId="77777777" w:rsidR="00F01FF1" w:rsidRPr="00F01FF1" w:rsidRDefault="00F01FF1" w:rsidP="00F01FF1">
      <w:r w:rsidRPr="00F01FF1">
        <w:rPr>
          <w:b/>
          <w:bCs/>
        </w:rPr>
        <w:lastRenderedPageBreak/>
        <w:t>Sobre Presspage</w:t>
      </w:r>
    </w:p>
    <w:p w14:paraId="7E3BE6EA" w14:textId="77777777" w:rsidR="00F01FF1" w:rsidRPr="00F01FF1" w:rsidRDefault="00F01FF1" w:rsidP="00F01FF1">
      <w:r w:rsidRPr="00F01FF1">
        <w:t xml:space="preserve">Fundada en 2008, </w:t>
      </w:r>
      <w:hyperlink r:id="rId10" w:anchor="our-products" w:history="1">
        <w:r w:rsidRPr="00F01FF1">
          <w:rPr>
            <w:rStyle w:val="Hyperlink"/>
            <w:b/>
            <w:bCs/>
          </w:rPr>
          <w:t>Presspage</w:t>
        </w:r>
      </w:hyperlink>
      <w:r w:rsidRPr="00F01FF1">
        <w:t xml:space="preserve"> ofrece a los equipos de relaciones públicas y comunicación una tecnología intuitiva para gestionar salas de prensa, distribuir contenido, interactuar con los medios y medir el impacto de las acciones de PR. Con la confianza de </w:t>
      </w:r>
      <w:hyperlink r:id="rId11" w:tgtFrame="_blank" w:history="1">
        <w:r w:rsidRPr="00F01FF1">
          <w:rPr>
            <w:rStyle w:val="Hyperlink"/>
          </w:rPr>
          <w:t>empresas líderes</w:t>
        </w:r>
      </w:hyperlink>
      <w:r w:rsidRPr="00F01FF1">
        <w:t xml:space="preserve"> en sectores como </w:t>
      </w:r>
      <w:hyperlink r:id="rId12" w:tgtFrame="_blank" w:history="1">
        <w:r w:rsidRPr="00F01FF1">
          <w:rPr>
            <w:rStyle w:val="Hyperlink"/>
            <w:b/>
            <w:bCs/>
          </w:rPr>
          <w:t>aviación</w:t>
        </w:r>
      </w:hyperlink>
      <w:r w:rsidRPr="00F01FF1">
        <w:t xml:space="preserve">, </w:t>
      </w:r>
      <w:hyperlink r:id="rId13" w:tgtFrame="_blank" w:history="1">
        <w:r w:rsidRPr="00F01FF1">
          <w:rPr>
            <w:rStyle w:val="Hyperlink"/>
            <w:b/>
            <w:bCs/>
          </w:rPr>
          <w:t>salud</w:t>
        </w:r>
      </w:hyperlink>
      <w:r w:rsidRPr="00F01FF1">
        <w:t xml:space="preserve">, </w:t>
      </w:r>
      <w:hyperlink r:id="rId14" w:tgtFrame="_blank" w:history="1">
        <w:r w:rsidRPr="00F01FF1">
          <w:rPr>
            <w:rStyle w:val="Hyperlink"/>
            <w:b/>
            <w:bCs/>
          </w:rPr>
          <w:t>automoción</w:t>
        </w:r>
      </w:hyperlink>
      <w:r w:rsidRPr="00F01FF1">
        <w:t xml:space="preserve">, </w:t>
      </w:r>
      <w:hyperlink r:id="rId15" w:tgtFrame="_blank" w:history="1">
        <w:r w:rsidRPr="00F01FF1">
          <w:rPr>
            <w:rStyle w:val="Hyperlink"/>
            <w:b/>
            <w:bCs/>
          </w:rPr>
          <w:t>Turismo</w:t>
        </w:r>
      </w:hyperlink>
      <w:r w:rsidRPr="00F01FF1">
        <w:rPr>
          <w:b/>
          <w:bCs/>
        </w:rPr>
        <w:t>,</w:t>
      </w:r>
      <w:hyperlink r:id="rId16" w:tgtFrame="_blank" w:history="1">
        <w:r w:rsidRPr="00F01FF1">
          <w:rPr>
            <w:rStyle w:val="Hyperlink"/>
            <w:b/>
            <w:bCs/>
          </w:rPr>
          <w:t xml:space="preserve"> textil</w:t>
        </w:r>
      </w:hyperlink>
      <w:r w:rsidRPr="00F01FF1">
        <w:t xml:space="preserve"> y </w:t>
      </w:r>
      <w:hyperlink r:id="rId17" w:tgtFrame="_blank" w:history="1">
        <w:r w:rsidRPr="00F01FF1">
          <w:rPr>
            <w:rStyle w:val="Hyperlink"/>
            <w:b/>
            <w:bCs/>
          </w:rPr>
          <w:t>educación superior</w:t>
        </w:r>
      </w:hyperlink>
      <w:r w:rsidRPr="00F01FF1">
        <w:t>, Presspage simplifica procesos complejos y permite a los equipos demostrar un valor estratégico medible.</w:t>
      </w:r>
    </w:p>
    <w:p w14:paraId="6A7EBA78" w14:textId="77777777" w:rsidR="00F01FF1" w:rsidRPr="00F01FF1" w:rsidRDefault="00F01FF1" w:rsidP="00F01FF1">
      <w:r w:rsidRPr="00F01FF1">
        <w:rPr>
          <w:b/>
          <w:bCs/>
        </w:rPr>
        <w:t>Sobre Banyan Software</w:t>
      </w:r>
    </w:p>
    <w:p w14:paraId="1AC46EDA" w14:textId="77777777" w:rsidR="00F01FF1" w:rsidRDefault="00F01FF1" w:rsidP="00F01FF1">
      <w:hyperlink r:id="rId18" w:history="1">
        <w:r w:rsidRPr="00F01FF1">
          <w:rPr>
            <w:rStyle w:val="Hyperlink"/>
            <w:b/>
            <w:bCs/>
          </w:rPr>
          <w:t>Banyan Software</w:t>
        </w:r>
      </w:hyperlink>
      <w:r w:rsidRPr="00F01FF1">
        <w:t xml:space="preserve"> adquiere, desarrolla y hace crecer empresas de software excepcionales que son fundamentales para los clientes a los que sirven. Con un enfoque en asociaciones a largo plazo y autonomía operativa, </w:t>
      </w:r>
      <w:hyperlink r:id="rId19" w:tgtFrame="_blank" w:history="1">
        <w:r w:rsidRPr="00F01FF1">
          <w:rPr>
            <w:rStyle w:val="Hyperlink"/>
            <w:i/>
            <w:iCs/>
          </w:rPr>
          <w:t>Banyan proporciona un hogar permanente para compañías de software en todo el mundo</w:t>
        </w:r>
      </w:hyperlink>
      <w:r w:rsidRPr="00F01FF1">
        <w:t>. Fundada en 2016, la empresa adopta una estrategia de “comprar y mantener de por vida”, respaldada por una base de capital permanente que permite preservar el legado de sus fundadores. Como empresa con propósito, Banyan está comprometida con generar un impacto positivo y duradero en el mundo. Banyan es una de las empresas privadas de más rápido crecimiento en América del Norte, con oficinas en EE.UU., Canadá, Reino Unido, Asia-Pacífico y Europa. Su portafolio europeo está creciendo rápidamente, sobre la base del éxito demostrado en América del Norte.</w:t>
      </w:r>
    </w:p>
    <w:p w14:paraId="26BCA161" w14:textId="77777777" w:rsidR="00F01FF1" w:rsidRDefault="00F01FF1" w:rsidP="00F01FF1"/>
    <w:p w14:paraId="4D595738" w14:textId="39A79D73" w:rsidR="00F01FF1" w:rsidRDefault="00F01FF1" w:rsidP="00F01FF1">
      <w:r>
        <w:t xml:space="preserve">Más información: </w:t>
      </w:r>
    </w:p>
    <w:p w14:paraId="7C83A02E" w14:textId="77777777" w:rsidR="00F01FF1" w:rsidRPr="00F01FF1" w:rsidRDefault="00F01FF1" w:rsidP="00F01FF1">
      <w:r w:rsidRPr="00F01FF1">
        <w:rPr>
          <w:b/>
          <w:bCs/>
        </w:rPr>
        <w:t>Teis Meijer</w:t>
      </w:r>
    </w:p>
    <w:p w14:paraId="60A4F9BF" w14:textId="77777777" w:rsidR="00F01FF1" w:rsidRPr="00F01FF1" w:rsidRDefault="00F01FF1" w:rsidP="00F01FF1">
      <w:r w:rsidRPr="00F01FF1">
        <w:t>Head of Marketing &amp; PR Presspage</w:t>
      </w:r>
    </w:p>
    <w:p w14:paraId="340E0A1A" w14:textId="77777777" w:rsidR="00F01FF1" w:rsidRPr="00F01FF1" w:rsidRDefault="00F01FF1" w:rsidP="00F01FF1">
      <w:r w:rsidRPr="00F01FF1">
        <w:t>+31 6 15535181</w:t>
      </w:r>
    </w:p>
    <w:p w14:paraId="19A648A3" w14:textId="77777777" w:rsidR="00F01FF1" w:rsidRPr="00F01FF1" w:rsidRDefault="00F01FF1" w:rsidP="00F01FF1">
      <w:hyperlink r:id="rId20" w:tgtFrame="_blank" w:history="1">
        <w:r w:rsidRPr="00F01FF1">
          <w:rPr>
            <w:rStyle w:val="Hyperlink"/>
          </w:rPr>
          <w:t>t.meijer@presspage.com</w:t>
        </w:r>
      </w:hyperlink>
    </w:p>
    <w:p w14:paraId="495421B9" w14:textId="77777777" w:rsidR="00F01FF1" w:rsidRPr="00F01FF1" w:rsidRDefault="00F01FF1" w:rsidP="00F01FF1">
      <w:r w:rsidRPr="00F01FF1">
        <w:rPr>
          <w:b/>
          <w:bCs/>
        </w:rPr>
        <w:t>Lucrecia Aldao</w:t>
      </w:r>
    </w:p>
    <w:p w14:paraId="3B9E81CF" w14:textId="77777777" w:rsidR="00F01FF1" w:rsidRPr="00F01FF1" w:rsidRDefault="00F01FF1" w:rsidP="00F01FF1">
      <w:r w:rsidRPr="00F01FF1">
        <w:t>MEDIATOOLStv/PressPage</w:t>
      </w:r>
    </w:p>
    <w:p w14:paraId="4AE6C69A" w14:textId="77777777" w:rsidR="00F01FF1" w:rsidRPr="00F01FF1" w:rsidRDefault="00F01FF1" w:rsidP="00F01FF1">
      <w:r w:rsidRPr="00F01FF1">
        <w:t>+ 34 629421926</w:t>
      </w:r>
    </w:p>
    <w:p w14:paraId="03464787" w14:textId="65D2ED25" w:rsidR="00F01FF1" w:rsidRDefault="00F01FF1">
      <w:hyperlink r:id="rId21" w:tgtFrame="_blank" w:history="1">
        <w:r w:rsidRPr="00F01FF1">
          <w:rPr>
            <w:rStyle w:val="Hyperlink"/>
          </w:rPr>
          <w:t>mediatoolstv@mediatoolstv.com</w:t>
        </w:r>
      </w:hyperlink>
    </w:p>
    <w:sectPr w:rsidR="00F01F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FF1"/>
    <w:rsid w:val="001E1F2E"/>
    <w:rsid w:val="00681AA3"/>
    <w:rsid w:val="00F01FF1"/>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30A3E824"/>
  <w15:chartTrackingRefBased/>
  <w15:docId w15:val="{9D3338F2-4FB2-E844-9D55-60415B8B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F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F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F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F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F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F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F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FF1"/>
    <w:rPr>
      <w:rFonts w:eastAsiaTheme="majorEastAsia" w:cstheme="majorBidi"/>
      <w:color w:val="272727" w:themeColor="text1" w:themeTint="D8"/>
    </w:rPr>
  </w:style>
  <w:style w:type="paragraph" w:styleId="Title">
    <w:name w:val="Title"/>
    <w:basedOn w:val="Normal"/>
    <w:next w:val="Normal"/>
    <w:link w:val="TitleChar"/>
    <w:uiPriority w:val="10"/>
    <w:qFormat/>
    <w:rsid w:val="00F01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FF1"/>
    <w:pPr>
      <w:spacing w:before="160"/>
      <w:jc w:val="center"/>
    </w:pPr>
    <w:rPr>
      <w:i/>
      <w:iCs/>
      <w:color w:val="404040" w:themeColor="text1" w:themeTint="BF"/>
    </w:rPr>
  </w:style>
  <w:style w:type="character" w:customStyle="1" w:styleId="QuoteChar">
    <w:name w:val="Quote Char"/>
    <w:basedOn w:val="DefaultParagraphFont"/>
    <w:link w:val="Quote"/>
    <w:uiPriority w:val="29"/>
    <w:rsid w:val="00F01FF1"/>
    <w:rPr>
      <w:i/>
      <w:iCs/>
      <w:color w:val="404040" w:themeColor="text1" w:themeTint="BF"/>
    </w:rPr>
  </w:style>
  <w:style w:type="paragraph" w:styleId="ListParagraph">
    <w:name w:val="List Paragraph"/>
    <w:basedOn w:val="Normal"/>
    <w:uiPriority w:val="34"/>
    <w:qFormat/>
    <w:rsid w:val="00F01FF1"/>
    <w:pPr>
      <w:ind w:left="720"/>
      <w:contextualSpacing/>
    </w:pPr>
  </w:style>
  <w:style w:type="character" w:styleId="IntenseEmphasis">
    <w:name w:val="Intense Emphasis"/>
    <w:basedOn w:val="DefaultParagraphFont"/>
    <w:uiPriority w:val="21"/>
    <w:qFormat/>
    <w:rsid w:val="00F01FF1"/>
    <w:rPr>
      <w:i/>
      <w:iCs/>
      <w:color w:val="0F4761" w:themeColor="accent1" w:themeShade="BF"/>
    </w:rPr>
  </w:style>
  <w:style w:type="paragraph" w:styleId="IntenseQuote">
    <w:name w:val="Intense Quote"/>
    <w:basedOn w:val="Normal"/>
    <w:next w:val="Normal"/>
    <w:link w:val="IntenseQuoteChar"/>
    <w:uiPriority w:val="30"/>
    <w:qFormat/>
    <w:rsid w:val="00F01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FF1"/>
    <w:rPr>
      <w:i/>
      <w:iCs/>
      <w:color w:val="0F4761" w:themeColor="accent1" w:themeShade="BF"/>
    </w:rPr>
  </w:style>
  <w:style w:type="character" w:styleId="IntenseReference">
    <w:name w:val="Intense Reference"/>
    <w:basedOn w:val="DefaultParagraphFont"/>
    <w:uiPriority w:val="32"/>
    <w:qFormat/>
    <w:rsid w:val="00F01FF1"/>
    <w:rPr>
      <w:b/>
      <w:bCs/>
      <w:smallCaps/>
      <w:color w:val="0F4761" w:themeColor="accent1" w:themeShade="BF"/>
      <w:spacing w:val="5"/>
    </w:rPr>
  </w:style>
  <w:style w:type="character" w:styleId="Hyperlink">
    <w:name w:val="Hyperlink"/>
    <w:basedOn w:val="DefaultParagraphFont"/>
    <w:uiPriority w:val="99"/>
    <w:unhideWhenUsed/>
    <w:rsid w:val="00F01FF1"/>
    <w:rPr>
      <w:color w:val="467886" w:themeColor="hyperlink"/>
      <w:u w:val="single"/>
    </w:rPr>
  </w:style>
  <w:style w:type="character" w:styleId="UnresolvedMention">
    <w:name w:val="Unresolved Mention"/>
    <w:basedOn w:val="DefaultParagraphFont"/>
    <w:uiPriority w:val="99"/>
    <w:semiHidden/>
    <w:unhideWhenUsed/>
    <w:rsid w:val="00F01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50073">
      <w:bodyDiv w:val="1"/>
      <w:marLeft w:val="0"/>
      <w:marRight w:val="0"/>
      <w:marTop w:val="0"/>
      <w:marBottom w:val="0"/>
      <w:divBdr>
        <w:top w:val="none" w:sz="0" w:space="0" w:color="auto"/>
        <w:left w:val="none" w:sz="0" w:space="0" w:color="auto"/>
        <w:bottom w:val="none" w:sz="0" w:space="0" w:color="auto"/>
        <w:right w:val="none" w:sz="0" w:space="0" w:color="auto"/>
      </w:divBdr>
    </w:div>
    <w:div w:id="372965788">
      <w:bodyDiv w:val="1"/>
      <w:marLeft w:val="0"/>
      <w:marRight w:val="0"/>
      <w:marTop w:val="0"/>
      <w:marBottom w:val="0"/>
      <w:divBdr>
        <w:top w:val="none" w:sz="0" w:space="0" w:color="auto"/>
        <w:left w:val="none" w:sz="0" w:space="0" w:color="auto"/>
        <w:bottom w:val="none" w:sz="0" w:space="0" w:color="auto"/>
        <w:right w:val="none" w:sz="0" w:space="0" w:color="auto"/>
      </w:divBdr>
    </w:div>
    <w:div w:id="407112457">
      <w:bodyDiv w:val="1"/>
      <w:marLeft w:val="0"/>
      <w:marRight w:val="0"/>
      <w:marTop w:val="0"/>
      <w:marBottom w:val="0"/>
      <w:divBdr>
        <w:top w:val="none" w:sz="0" w:space="0" w:color="auto"/>
        <w:left w:val="none" w:sz="0" w:space="0" w:color="auto"/>
        <w:bottom w:val="none" w:sz="0" w:space="0" w:color="auto"/>
        <w:right w:val="none" w:sz="0" w:space="0" w:color="auto"/>
      </w:divBdr>
      <w:divsChild>
        <w:div w:id="1374846430">
          <w:marLeft w:val="0"/>
          <w:marRight w:val="0"/>
          <w:marTop w:val="0"/>
          <w:marBottom w:val="150"/>
          <w:divBdr>
            <w:top w:val="none" w:sz="0" w:space="0" w:color="auto"/>
            <w:left w:val="none" w:sz="0" w:space="0" w:color="auto"/>
            <w:bottom w:val="none" w:sz="0" w:space="0" w:color="auto"/>
            <w:right w:val="none" w:sz="0" w:space="0" w:color="auto"/>
          </w:divBdr>
        </w:div>
        <w:div w:id="538738423">
          <w:marLeft w:val="0"/>
          <w:marRight w:val="0"/>
          <w:marTop w:val="0"/>
          <w:marBottom w:val="150"/>
          <w:divBdr>
            <w:top w:val="none" w:sz="0" w:space="0" w:color="auto"/>
            <w:left w:val="none" w:sz="0" w:space="0" w:color="auto"/>
            <w:bottom w:val="none" w:sz="0" w:space="0" w:color="auto"/>
            <w:right w:val="none" w:sz="0" w:space="0" w:color="auto"/>
          </w:divBdr>
        </w:div>
      </w:divsChild>
    </w:div>
    <w:div w:id="451487148">
      <w:bodyDiv w:val="1"/>
      <w:marLeft w:val="0"/>
      <w:marRight w:val="0"/>
      <w:marTop w:val="0"/>
      <w:marBottom w:val="0"/>
      <w:divBdr>
        <w:top w:val="none" w:sz="0" w:space="0" w:color="auto"/>
        <w:left w:val="none" w:sz="0" w:space="0" w:color="auto"/>
        <w:bottom w:val="none" w:sz="0" w:space="0" w:color="auto"/>
        <w:right w:val="none" w:sz="0" w:space="0" w:color="auto"/>
      </w:divBdr>
    </w:div>
    <w:div w:id="538513802">
      <w:bodyDiv w:val="1"/>
      <w:marLeft w:val="0"/>
      <w:marRight w:val="0"/>
      <w:marTop w:val="0"/>
      <w:marBottom w:val="0"/>
      <w:divBdr>
        <w:top w:val="none" w:sz="0" w:space="0" w:color="auto"/>
        <w:left w:val="none" w:sz="0" w:space="0" w:color="auto"/>
        <w:bottom w:val="none" w:sz="0" w:space="0" w:color="auto"/>
        <w:right w:val="none" w:sz="0" w:space="0" w:color="auto"/>
      </w:divBdr>
    </w:div>
    <w:div w:id="766005257">
      <w:bodyDiv w:val="1"/>
      <w:marLeft w:val="0"/>
      <w:marRight w:val="0"/>
      <w:marTop w:val="0"/>
      <w:marBottom w:val="0"/>
      <w:divBdr>
        <w:top w:val="none" w:sz="0" w:space="0" w:color="auto"/>
        <w:left w:val="none" w:sz="0" w:space="0" w:color="auto"/>
        <w:bottom w:val="none" w:sz="0" w:space="0" w:color="auto"/>
        <w:right w:val="none" w:sz="0" w:space="0" w:color="auto"/>
      </w:divBdr>
    </w:div>
    <w:div w:id="813722792">
      <w:bodyDiv w:val="1"/>
      <w:marLeft w:val="0"/>
      <w:marRight w:val="0"/>
      <w:marTop w:val="0"/>
      <w:marBottom w:val="0"/>
      <w:divBdr>
        <w:top w:val="none" w:sz="0" w:space="0" w:color="auto"/>
        <w:left w:val="none" w:sz="0" w:space="0" w:color="auto"/>
        <w:bottom w:val="none" w:sz="0" w:space="0" w:color="auto"/>
        <w:right w:val="none" w:sz="0" w:space="0" w:color="auto"/>
      </w:divBdr>
      <w:divsChild>
        <w:div w:id="686831332">
          <w:marLeft w:val="0"/>
          <w:marRight w:val="0"/>
          <w:marTop w:val="0"/>
          <w:marBottom w:val="150"/>
          <w:divBdr>
            <w:top w:val="none" w:sz="0" w:space="0" w:color="auto"/>
            <w:left w:val="none" w:sz="0" w:space="0" w:color="auto"/>
            <w:bottom w:val="none" w:sz="0" w:space="0" w:color="auto"/>
            <w:right w:val="none" w:sz="0" w:space="0" w:color="auto"/>
          </w:divBdr>
        </w:div>
        <w:div w:id="1961034211">
          <w:marLeft w:val="0"/>
          <w:marRight w:val="0"/>
          <w:marTop w:val="0"/>
          <w:marBottom w:val="150"/>
          <w:divBdr>
            <w:top w:val="none" w:sz="0" w:space="0" w:color="auto"/>
            <w:left w:val="none" w:sz="0" w:space="0" w:color="auto"/>
            <w:bottom w:val="none" w:sz="0" w:space="0" w:color="auto"/>
            <w:right w:val="none" w:sz="0" w:space="0" w:color="auto"/>
          </w:divBdr>
        </w:div>
      </w:divsChild>
    </w:div>
    <w:div w:id="1247155939">
      <w:bodyDiv w:val="1"/>
      <w:marLeft w:val="0"/>
      <w:marRight w:val="0"/>
      <w:marTop w:val="0"/>
      <w:marBottom w:val="0"/>
      <w:divBdr>
        <w:top w:val="none" w:sz="0" w:space="0" w:color="auto"/>
        <w:left w:val="none" w:sz="0" w:space="0" w:color="auto"/>
        <w:bottom w:val="none" w:sz="0" w:space="0" w:color="auto"/>
        <w:right w:val="none" w:sz="0" w:space="0" w:color="auto"/>
      </w:divBdr>
    </w:div>
    <w:div w:id="1317495188">
      <w:bodyDiv w:val="1"/>
      <w:marLeft w:val="0"/>
      <w:marRight w:val="0"/>
      <w:marTop w:val="0"/>
      <w:marBottom w:val="0"/>
      <w:divBdr>
        <w:top w:val="none" w:sz="0" w:space="0" w:color="auto"/>
        <w:left w:val="none" w:sz="0" w:space="0" w:color="auto"/>
        <w:bottom w:val="none" w:sz="0" w:space="0" w:color="auto"/>
        <w:right w:val="none" w:sz="0" w:space="0" w:color="auto"/>
      </w:divBdr>
    </w:div>
    <w:div w:id="1796482062">
      <w:bodyDiv w:val="1"/>
      <w:marLeft w:val="0"/>
      <w:marRight w:val="0"/>
      <w:marTop w:val="0"/>
      <w:marBottom w:val="0"/>
      <w:divBdr>
        <w:top w:val="none" w:sz="0" w:space="0" w:color="auto"/>
        <w:left w:val="none" w:sz="0" w:space="0" w:color="auto"/>
        <w:bottom w:val="none" w:sz="0" w:space="0" w:color="auto"/>
        <w:right w:val="none" w:sz="0" w:space="0" w:color="auto"/>
      </w:divBdr>
    </w:div>
    <w:div w:id="1980263768">
      <w:bodyDiv w:val="1"/>
      <w:marLeft w:val="0"/>
      <w:marRight w:val="0"/>
      <w:marTop w:val="0"/>
      <w:marBottom w:val="0"/>
      <w:divBdr>
        <w:top w:val="none" w:sz="0" w:space="0" w:color="auto"/>
        <w:left w:val="none" w:sz="0" w:space="0" w:color="auto"/>
        <w:bottom w:val="none" w:sz="0" w:space="0" w:color="auto"/>
        <w:right w:val="none" w:sz="0" w:space="0" w:color="auto"/>
      </w:divBdr>
    </w:div>
    <w:div w:id="213354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mediatoolstv.senderservices.net/c/eJyEz0GOhCAQQNHTwNJACYgLFrPxGh0sim4SEUPRnn_idjZzgf_zUoirozhLCnqxZgZjvJVUYzleJQUBsBqjvQCQn5Cd8jGqrA0ptXi92GTXNAPumFa3Z1kCKLDKK6MdaLATkvU2O5sXtecdjTCqUipxtHbwuCemM1Fn6ndB4umkIY_wGeNiMf8I2ARsVyfmK75pwlYFbPjl0Sp1lj0cX-yEJf7NYqvySZfz_UqtxnI-kn_Oj_EO8BsAAP__LIBY_w" TargetMode="External"/><Relationship Id="rId13" Type="http://schemas.openxmlformats.org/officeDocument/2006/relationships/hyperlink" Target="https://presspage.com/customers/cedars-sinai" TargetMode="External"/><Relationship Id="rId18" Type="http://schemas.openxmlformats.org/officeDocument/2006/relationships/hyperlink" Target="https://banyansoftware.com/annual25/" TargetMode="External"/><Relationship Id="rId3" Type="http://schemas.openxmlformats.org/officeDocument/2006/relationships/webSettings" Target="webSettings.xml"/><Relationship Id="rId21" Type="http://schemas.openxmlformats.org/officeDocument/2006/relationships/hyperlink" Target="mailto:mediatoolstv@mediatoolstv.com" TargetMode="External"/><Relationship Id="rId7" Type="http://schemas.openxmlformats.org/officeDocument/2006/relationships/hyperlink" Target="https://presspage.com/customers" TargetMode="External"/><Relationship Id="rId12" Type="http://schemas.openxmlformats.org/officeDocument/2006/relationships/hyperlink" Target="https://presspage.com/customers/klm" TargetMode="External"/><Relationship Id="rId17" Type="http://schemas.openxmlformats.org/officeDocument/2006/relationships/hyperlink" Target="https://presspage.com/customers/university-of-manchester" TargetMode="External"/><Relationship Id="rId2" Type="http://schemas.openxmlformats.org/officeDocument/2006/relationships/settings" Target="settings.xml"/><Relationship Id="rId16" Type="http://schemas.openxmlformats.org/officeDocument/2006/relationships/hyperlink" Target="https://presspage.com/customers/gore-tex-professional" TargetMode="External"/><Relationship Id="rId20" Type="http://schemas.openxmlformats.org/officeDocument/2006/relationships/hyperlink" Target="mailto:t.meijer@presspage.com" TargetMode="External"/><Relationship Id="rId1" Type="http://schemas.openxmlformats.org/officeDocument/2006/relationships/styles" Target="styles.xml"/><Relationship Id="rId6" Type="http://schemas.openxmlformats.org/officeDocument/2006/relationships/hyperlink" Target="https://banyansoftware.com/2025/07/24/presspage/" TargetMode="External"/><Relationship Id="rId11" Type="http://schemas.openxmlformats.org/officeDocument/2006/relationships/hyperlink" Target="https://presspage.com/customers" TargetMode="External"/><Relationship Id="rId5" Type="http://schemas.openxmlformats.org/officeDocument/2006/relationships/hyperlink" Target="https://presspage.com/" TargetMode="External"/><Relationship Id="rId15" Type="http://schemas.openxmlformats.org/officeDocument/2006/relationships/hyperlink" Target="https://presspage.com/customers/booking-com" TargetMode="External"/><Relationship Id="rId23" Type="http://schemas.openxmlformats.org/officeDocument/2006/relationships/theme" Target="theme/theme1.xml"/><Relationship Id="rId10" Type="http://schemas.openxmlformats.org/officeDocument/2006/relationships/hyperlink" Target="https://presspage.com/" TargetMode="External"/><Relationship Id="rId19" Type="http://schemas.openxmlformats.org/officeDocument/2006/relationships/hyperlink" Target="https://banyansoftware.com/latest-news/" TargetMode="External"/><Relationship Id="rId4" Type="http://schemas.openxmlformats.org/officeDocument/2006/relationships/hyperlink" Target="https://pressroom.mediatoolstv.com/banyan-software-adquiere-presspage/" TargetMode="External"/><Relationship Id="rId9" Type="http://schemas.openxmlformats.org/officeDocument/2006/relationships/hyperlink" Target="https://email.mediatoolstv.senderservices.net/c/eJyE0DGOwyAQheHTQIeFB7BJQbGNrxFNYBwjYfACcZTbr9xssc0e4Enf-4PD20SoOLlxNlqB1tZw2jGmewyOAdy0Hi0D4JublLnJ2UijwHoISuFsJyXRSjIjouXRgQQjrdTjBCOYwZOxZp3MOsvH-vCaablTiNhLSa2fQ6McqDaqZ_TUhkydJ7f1fjSmvhgsDJZM7zYclVo78EmDLzuD5YH5g1m0svY3VhLov1-xUhNHFZ38lksqz49IhIGq-F0zWHh16eUr-Yh_Mb7s_ALF_LyHsmPM1_9_vFeZ08FPAAAA__8QPmwh" TargetMode="External"/><Relationship Id="rId14" Type="http://schemas.openxmlformats.org/officeDocument/2006/relationships/hyperlink" Target="https://presspage.com/customers/smart-automobil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1</cp:revision>
  <dcterms:created xsi:type="dcterms:W3CDTF">2025-08-05T08:15:00Z</dcterms:created>
  <dcterms:modified xsi:type="dcterms:W3CDTF">2025-08-05T08:28:00Z</dcterms:modified>
</cp:coreProperties>
</file>